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IntentLock - L4 Director / Senior Manager Detailed Profiles</w:t>
      </w:r>
    </w:p>
    <w:p>
      <w:pPr>
        <w:jc w:val="center"/>
      </w:pPr>
      <w:r>
        <w:rPr>
          <w:i/>
        </w:rPr>
        <w:t>Five comprehensive fictional L4 leaders with strategic, organizational, governance and voice-authorization data</w:t>
      </w:r>
    </w:p>
    <w:p>
      <w:pPr>
        <w:jc w:val="center"/>
      </w:pPr>
      <w:r>
        <w:rPr>
          <w:b/>
        </w:rPr>
        <w:t>DEMO DATA ONLY - all identities, organizations, employers, programs, emails and histories are fictional.</w:t>
      </w:r>
    </w:p>
    <w:p>
      <w:r>
        <w:t>L4 represents senior business authority, not unlimited system authority. Directors can make broader organizational decisions than L3 managers, but IntentLock still independently verifies identity, exact action, resource scope, approval dependencies and security policy.</w:t>
      </w:r>
    </w:p>
    <w:p>
      <w:pPr>
        <w:pStyle w:val="Heading1"/>
      </w:pPr>
      <w:r>
        <w:t>Table 1 - Executive Reporting, Organizational Span, Education and Strategic Portfolio</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gridCol w:w="1190"/>
        <w:gridCol w:w="1190"/>
        <w:gridCol w:w="1190"/>
        <w:gridCol w:w="1190"/>
        <w:gridCol w:w="1190"/>
        <w:gridCol w:w="1190"/>
        <w:gridCol w:w="1190"/>
        <w:gridCol w:w="1190"/>
        <w:gridCol w:w="1190"/>
        <w:gridCol w:w="1190"/>
        <w:gridCol w:w="1190"/>
      </w:tblGrid>
      <w:tr>
        <w:trPr>
          <w:tblHeader w:val="true"/>
        </w:trPr>
        <w:tc>
          <w:tcPr>
            <w:tcW w:type="dxa" w:w="1190"/>
            <w:shd w:fill="1F4E78"/>
          </w:tcPr>
          <w:p>
            <w:r>
              <w:rPr>
                <w:b/>
                <w:color w:val="FFFFFF"/>
                <w:sz w:val="11"/>
              </w:rPr>
              <w:t>Employee ID</w:t>
            </w:r>
          </w:p>
        </w:tc>
        <w:tc>
          <w:tcPr>
            <w:tcW w:type="dxa" w:w="1190"/>
            <w:shd w:fill="1F4E78"/>
          </w:tcPr>
          <w:p>
            <w:r>
              <w:rPr>
                <w:b/>
                <w:color w:val="FFFFFF"/>
                <w:sz w:val="11"/>
              </w:rPr>
              <w:t>Full Name</w:t>
            </w:r>
          </w:p>
        </w:tc>
        <w:tc>
          <w:tcPr>
            <w:tcW w:type="dxa" w:w="1190"/>
            <w:shd w:fill="1F4E78"/>
          </w:tcPr>
          <w:p>
            <w:r>
              <w:rPr>
                <w:b/>
                <w:color w:val="FFFFFF"/>
                <w:sz w:val="11"/>
              </w:rPr>
              <w:t>Preferred Name</w:t>
            </w:r>
          </w:p>
        </w:tc>
        <w:tc>
          <w:tcPr>
            <w:tcW w:type="dxa" w:w="1190"/>
            <w:shd w:fill="1F4E78"/>
          </w:tcPr>
          <w:p>
            <w:r>
              <w:rPr>
                <w:b/>
                <w:color w:val="FFFFFF"/>
                <w:sz w:val="11"/>
              </w:rPr>
              <w:t>Role / Designation</w:t>
            </w:r>
          </w:p>
        </w:tc>
        <w:tc>
          <w:tcPr>
            <w:tcW w:type="dxa" w:w="1190"/>
            <w:shd w:fill="1F4E78"/>
          </w:tcPr>
          <w:p>
            <w:r>
              <w:rPr>
                <w:b/>
                <w:color w:val="FFFFFF"/>
                <w:sz w:val="11"/>
              </w:rPr>
              <w:t>Department</w:t>
            </w:r>
          </w:p>
        </w:tc>
        <w:tc>
          <w:tcPr>
            <w:tcW w:type="dxa" w:w="1190"/>
            <w:shd w:fill="1F4E78"/>
          </w:tcPr>
          <w:p>
            <w:r>
              <w:rPr>
                <w:b/>
                <w:color w:val="FFFFFF"/>
                <w:sz w:val="11"/>
              </w:rPr>
              <w:t>Function / Portfolio</w:t>
            </w:r>
          </w:p>
        </w:tc>
        <w:tc>
          <w:tcPr>
            <w:tcW w:type="dxa" w:w="1190"/>
            <w:shd w:fill="1F4E78"/>
          </w:tcPr>
          <w:p>
            <w:r>
              <w:rPr>
                <w:b/>
                <w:color w:val="FFFFFF"/>
                <w:sz w:val="11"/>
              </w:rPr>
              <w:t>Company Level</w:t>
            </w:r>
          </w:p>
        </w:tc>
        <w:tc>
          <w:tcPr>
            <w:tcW w:type="dxa" w:w="1190"/>
            <w:shd w:fill="1F4E78"/>
          </w:tcPr>
          <w:p>
            <w:r>
              <w:rPr>
                <w:b/>
                <w:color w:val="FFFFFF"/>
                <w:sz w:val="11"/>
              </w:rPr>
              <w:t>Employment Type</w:t>
            </w:r>
          </w:p>
        </w:tc>
        <w:tc>
          <w:tcPr>
            <w:tcW w:type="dxa" w:w="1190"/>
            <w:shd w:fill="1F4E78"/>
          </w:tcPr>
          <w:p>
            <w:r>
              <w:rPr>
                <w:b/>
                <w:color w:val="FFFFFF"/>
                <w:sz w:val="11"/>
              </w:rPr>
              <w:t>Employment Status</w:t>
            </w:r>
          </w:p>
        </w:tc>
        <w:tc>
          <w:tcPr>
            <w:tcW w:type="dxa" w:w="1190"/>
            <w:shd w:fill="1F4E78"/>
          </w:tcPr>
          <w:p>
            <w:r>
              <w:rPr>
                <w:b/>
                <w:color w:val="FFFFFF"/>
                <w:sz w:val="11"/>
              </w:rPr>
              <w:t>Work Location</w:t>
            </w:r>
          </w:p>
        </w:tc>
        <w:tc>
          <w:tcPr>
            <w:tcW w:type="dxa" w:w="1190"/>
            <w:shd w:fill="1F4E78"/>
          </w:tcPr>
          <w:p>
            <w:r>
              <w:rPr>
                <w:b/>
                <w:color w:val="FFFFFF"/>
                <w:sz w:val="11"/>
              </w:rPr>
              <w:t>Work Mode</w:t>
            </w:r>
          </w:p>
        </w:tc>
        <w:tc>
          <w:tcPr>
            <w:tcW w:type="dxa" w:w="1190"/>
            <w:shd w:fill="1F4E78"/>
          </w:tcPr>
          <w:p>
            <w:r>
              <w:rPr>
                <w:b/>
                <w:color w:val="FFFFFF"/>
                <w:sz w:val="11"/>
              </w:rPr>
              <w:t>Date of Joining</w:t>
            </w:r>
          </w:p>
        </w:tc>
        <w:tc>
          <w:tcPr>
            <w:tcW w:type="dxa" w:w="1190"/>
            <w:shd w:fill="1F4E78"/>
          </w:tcPr>
          <w:p>
            <w:r>
              <w:rPr>
                <w:b/>
                <w:color w:val="FFFFFF"/>
                <w:sz w:val="11"/>
              </w:rPr>
              <w:t>Total Professional Experience</w:t>
            </w:r>
          </w:p>
        </w:tc>
        <w:tc>
          <w:tcPr>
            <w:tcW w:type="dxa" w:w="1190"/>
            <w:shd w:fill="1F4E78"/>
          </w:tcPr>
          <w:p>
            <w:r>
              <w:rPr>
                <w:b/>
                <w:color w:val="FFFFFF"/>
                <w:sz w:val="11"/>
              </w:rPr>
              <w:t>Reports To</w:t>
            </w:r>
          </w:p>
        </w:tc>
        <w:tc>
          <w:tcPr>
            <w:tcW w:type="dxa" w:w="1190"/>
            <w:shd w:fill="1F4E78"/>
          </w:tcPr>
          <w:p>
            <w:r>
              <w:rPr>
                <w:b/>
                <w:color w:val="FFFFFF"/>
                <w:sz w:val="11"/>
              </w:rPr>
              <w:t>Managers / Leads Supervised</w:t>
            </w:r>
          </w:p>
        </w:tc>
        <w:tc>
          <w:tcPr>
            <w:tcW w:type="dxa" w:w="1190"/>
            <w:shd w:fill="1F4E78"/>
          </w:tcPr>
          <w:p>
            <w:r>
              <w:rPr>
                <w:b/>
                <w:color w:val="FFFFFF"/>
                <w:sz w:val="11"/>
              </w:rPr>
              <w:t>Organizational Span</w:t>
            </w:r>
          </w:p>
        </w:tc>
        <w:tc>
          <w:tcPr>
            <w:tcW w:type="dxa" w:w="1190"/>
            <w:shd w:fill="1F4E78"/>
          </w:tcPr>
          <w:p>
            <w:r>
              <w:rPr>
                <w:b/>
                <w:color w:val="FFFFFF"/>
                <w:sz w:val="11"/>
              </w:rPr>
              <w:t>Work Email</w:t>
            </w:r>
          </w:p>
        </w:tc>
        <w:tc>
          <w:tcPr>
            <w:tcW w:type="dxa" w:w="1190"/>
            <w:shd w:fill="1F4E78"/>
          </w:tcPr>
          <w:p>
            <w:r>
              <w:rPr>
                <w:b/>
                <w:color w:val="FFFFFF"/>
                <w:sz w:val="11"/>
              </w:rPr>
              <w:t>Highest Qualification</w:t>
            </w:r>
          </w:p>
        </w:tc>
        <w:tc>
          <w:tcPr>
            <w:tcW w:type="dxa" w:w="1190"/>
            <w:shd w:fill="1F4E78"/>
          </w:tcPr>
          <w:p>
            <w:r>
              <w:rPr>
                <w:b/>
                <w:color w:val="FFFFFF"/>
                <w:sz w:val="11"/>
              </w:rPr>
              <w:t>Current Strategic Programs</w:t>
            </w:r>
          </w:p>
        </w:tc>
      </w:tr>
      <w:tr>
        <w:tc>
          <w:tcPr>
            <w:tcW w:type="dxa" w:w="1190"/>
            <w:vAlign w:val="top"/>
          </w:tcPr>
          <w:p>
            <w:pPr>
              <w:spacing w:after="0" w:line="182" w:lineRule="auto"/>
            </w:pPr>
            <w:r>
              <w:rPr>
                <w:sz w:val="11"/>
              </w:rPr>
              <w:t>EMP-3001</w:t>
            </w:r>
          </w:p>
        </w:tc>
        <w:tc>
          <w:tcPr>
            <w:tcW w:type="dxa" w:w="1190"/>
            <w:vAlign w:val="top"/>
          </w:tcPr>
          <w:p>
            <w:pPr>
              <w:spacing w:after="0" w:line="182" w:lineRule="auto"/>
            </w:pPr>
            <w:r>
              <w:rPr>
                <w:sz w:val="11"/>
              </w:rPr>
              <w:t>Vikram Malhotra</w:t>
            </w:r>
          </w:p>
        </w:tc>
        <w:tc>
          <w:tcPr>
            <w:tcW w:type="dxa" w:w="1190"/>
            <w:vAlign w:val="top"/>
          </w:tcPr>
          <w:p>
            <w:pPr>
              <w:spacing w:after="0" w:line="182" w:lineRule="auto"/>
            </w:pPr>
            <w:r>
              <w:rPr>
                <w:sz w:val="11"/>
              </w:rPr>
              <w:t>Vikram</w:t>
            </w:r>
          </w:p>
        </w:tc>
        <w:tc>
          <w:tcPr>
            <w:tcW w:type="dxa" w:w="1190"/>
            <w:vAlign w:val="top"/>
          </w:tcPr>
          <w:p>
            <w:pPr>
              <w:spacing w:after="0" w:line="182" w:lineRule="auto"/>
            </w:pPr>
            <w:r>
              <w:rPr>
                <w:sz w:val="11"/>
              </w:rPr>
              <w:t>Director of Engineering</w:t>
            </w:r>
          </w:p>
        </w:tc>
        <w:tc>
          <w:tcPr>
            <w:tcW w:type="dxa" w:w="1190"/>
            <w:vAlign w:val="top"/>
          </w:tcPr>
          <w:p>
            <w:pPr>
              <w:spacing w:after="0" w:line="182" w:lineRule="auto"/>
            </w:pPr>
            <w:r>
              <w:rPr>
                <w:sz w:val="11"/>
              </w:rPr>
              <w:t>Engineering</w:t>
            </w:r>
          </w:p>
        </w:tc>
        <w:tc>
          <w:tcPr>
            <w:tcW w:type="dxa" w:w="1190"/>
            <w:vAlign w:val="top"/>
          </w:tcPr>
          <w:p>
            <w:pPr>
              <w:spacing w:after="0" w:line="182" w:lineRule="auto"/>
            </w:pPr>
            <w:r>
              <w:rPr>
                <w:sz w:val="11"/>
              </w:rPr>
              <w:t>Engineering Strategy &amp; Delivery</w:t>
            </w:r>
          </w:p>
        </w:tc>
        <w:tc>
          <w:tcPr>
            <w:tcW w:type="dxa" w:w="1190"/>
            <w:vAlign w:val="top"/>
          </w:tcPr>
          <w:p>
            <w:pPr>
              <w:spacing w:after="0" w:line="182" w:lineRule="auto"/>
            </w:pPr>
            <w:r>
              <w:rPr>
                <w:sz w:val="11"/>
              </w:rPr>
              <w:t>L4 - Director / Senior Manager</w:t>
            </w:r>
          </w:p>
        </w:tc>
        <w:tc>
          <w:tcPr>
            <w:tcW w:type="dxa" w:w="1190"/>
            <w:vAlign w:val="top"/>
          </w:tcPr>
          <w:p>
            <w:pPr>
              <w:spacing w:after="0" w:line="182" w:lineRule="auto"/>
            </w:pPr>
            <w:r>
              <w:rPr>
                <w:sz w:val="11"/>
              </w:rPr>
              <w:t>Full-Time</w:t>
            </w:r>
          </w:p>
        </w:tc>
        <w:tc>
          <w:tcPr>
            <w:tcW w:type="dxa" w:w="1190"/>
            <w:vAlign w:val="top"/>
          </w:tcPr>
          <w:p>
            <w:pPr>
              <w:spacing w:after="0" w:line="182" w:lineRule="auto"/>
            </w:pPr>
            <w:r>
              <w:rPr>
                <w:sz w:val="11"/>
              </w:rPr>
              <w:t>Active</w:t>
            </w:r>
          </w:p>
        </w:tc>
        <w:tc>
          <w:tcPr>
            <w:tcW w:type="dxa" w:w="1190"/>
            <w:vAlign w:val="top"/>
          </w:tcPr>
          <w:p>
            <w:pPr>
              <w:spacing w:after="0" w:line="182" w:lineRule="auto"/>
            </w:pPr>
            <w:r>
              <w:rPr>
                <w:sz w:val="11"/>
              </w:rPr>
              <w:t>Bengaluru</w:t>
            </w:r>
          </w:p>
        </w:tc>
        <w:tc>
          <w:tcPr>
            <w:tcW w:type="dxa" w:w="1190"/>
            <w:vAlign w:val="top"/>
          </w:tcPr>
          <w:p>
            <w:pPr>
              <w:spacing w:after="0" w:line="182" w:lineRule="auto"/>
            </w:pPr>
            <w:r>
              <w:rPr>
                <w:sz w:val="11"/>
              </w:rPr>
              <w:t>Hybrid</w:t>
            </w:r>
          </w:p>
        </w:tc>
        <w:tc>
          <w:tcPr>
            <w:tcW w:type="dxa" w:w="1190"/>
            <w:vAlign w:val="top"/>
          </w:tcPr>
          <w:p>
            <w:pPr>
              <w:spacing w:after="0" w:line="182" w:lineRule="auto"/>
            </w:pPr>
            <w:r>
              <w:rPr>
                <w:sz w:val="11"/>
              </w:rPr>
              <w:t>05 March 2017</w:t>
            </w:r>
          </w:p>
        </w:tc>
        <w:tc>
          <w:tcPr>
            <w:tcW w:type="dxa" w:w="1190"/>
            <w:vAlign w:val="top"/>
          </w:tcPr>
          <w:p>
            <w:pPr>
              <w:spacing w:after="0" w:line="182" w:lineRule="auto"/>
            </w:pPr>
            <w:r>
              <w:rPr>
                <w:sz w:val="11"/>
              </w:rPr>
              <w:t>15 years</w:t>
            </w:r>
          </w:p>
        </w:tc>
        <w:tc>
          <w:tcPr>
            <w:tcW w:type="dxa" w:w="1190"/>
            <w:vAlign w:val="top"/>
          </w:tcPr>
          <w:p>
            <w:pPr>
              <w:spacing w:after="0" w:line="182" w:lineRule="auto"/>
            </w:pPr>
            <w:r>
              <w:rPr>
                <w:sz w:val="11"/>
              </w:rPr>
              <w:t>Ananya Iyer (EMP-4001)</w:t>
            </w:r>
          </w:p>
        </w:tc>
        <w:tc>
          <w:tcPr>
            <w:tcW w:type="dxa" w:w="1190"/>
            <w:vAlign w:val="top"/>
          </w:tcPr>
          <w:p>
            <w:pPr>
              <w:spacing w:after="0" w:line="182" w:lineRule="auto"/>
            </w:pPr>
            <w:r>
              <w:rPr>
                <w:sz w:val="11"/>
              </w:rPr>
              <w:t>Priya Sharma; Karthik Iyer; Varun Singh</w:t>
            </w:r>
          </w:p>
        </w:tc>
        <w:tc>
          <w:tcPr>
            <w:tcW w:type="dxa" w:w="1190"/>
            <w:vAlign w:val="top"/>
          </w:tcPr>
          <w:p>
            <w:pPr>
              <w:spacing w:after="0" w:line="182" w:lineRule="auto"/>
            </w:pPr>
            <w:r>
              <w:rPr>
                <w:sz w:val="11"/>
              </w:rPr>
              <w:t>~42 employees across engineering/QA/cloud</w:t>
            </w:r>
          </w:p>
        </w:tc>
        <w:tc>
          <w:tcPr>
            <w:tcW w:type="dxa" w:w="1190"/>
            <w:vAlign w:val="top"/>
          </w:tcPr>
          <w:p>
            <w:pPr>
              <w:spacing w:after="0" w:line="182" w:lineRule="auto"/>
            </w:pPr>
            <w:r>
              <w:rPr>
                <w:sz w:val="11"/>
              </w:rPr>
              <w:t>vikram.malhotra@intentlock-demo.example</w:t>
            </w:r>
          </w:p>
        </w:tc>
        <w:tc>
          <w:tcPr>
            <w:tcW w:type="dxa" w:w="1190"/>
            <w:vAlign w:val="top"/>
          </w:tcPr>
          <w:p>
            <w:pPr>
              <w:spacing w:after="0" w:line="182" w:lineRule="auto"/>
            </w:pPr>
            <w:r>
              <w:rPr>
                <w:sz w:val="11"/>
              </w:rPr>
              <w:t>M.S. Computer Science; B.Tech Computer Engineering</w:t>
            </w:r>
          </w:p>
        </w:tc>
        <w:tc>
          <w:tcPr>
            <w:tcW w:type="dxa" w:w="1190"/>
            <w:vAlign w:val="top"/>
          </w:tcPr>
          <w:p>
            <w:pPr>
              <w:spacing w:after="0" w:line="182" w:lineRule="auto"/>
            </w:pPr>
            <w:r>
              <w:rPr>
                <w:sz w:val="11"/>
              </w:rPr>
              <w:t>Engineering Modernization Program; Platform Reliability; Architecture Governance</w:t>
            </w:r>
          </w:p>
        </w:tc>
      </w:tr>
      <w:tr>
        <w:tc>
          <w:tcPr>
            <w:tcW w:type="dxa" w:w="1190"/>
            <w:vAlign w:val="top"/>
          </w:tcPr>
          <w:p>
            <w:pPr>
              <w:spacing w:after="0" w:line="182" w:lineRule="auto"/>
            </w:pPr>
            <w:r>
              <w:rPr>
                <w:sz w:val="11"/>
              </w:rPr>
              <w:t>EMP-3002</w:t>
            </w:r>
          </w:p>
        </w:tc>
        <w:tc>
          <w:tcPr>
            <w:tcW w:type="dxa" w:w="1190"/>
            <w:vAlign w:val="top"/>
          </w:tcPr>
          <w:p>
            <w:pPr>
              <w:spacing w:after="0" w:line="182" w:lineRule="auto"/>
            </w:pPr>
            <w:r>
              <w:rPr>
                <w:sz w:val="11"/>
              </w:rPr>
              <w:t>Karan Bhatia</w:t>
            </w:r>
          </w:p>
        </w:tc>
        <w:tc>
          <w:tcPr>
            <w:tcW w:type="dxa" w:w="1190"/>
            <w:vAlign w:val="top"/>
          </w:tcPr>
          <w:p>
            <w:pPr>
              <w:spacing w:after="0" w:line="182" w:lineRule="auto"/>
            </w:pPr>
            <w:r>
              <w:rPr>
                <w:sz w:val="11"/>
              </w:rPr>
              <w:t>Karan</w:t>
            </w:r>
          </w:p>
        </w:tc>
        <w:tc>
          <w:tcPr>
            <w:tcW w:type="dxa" w:w="1190"/>
            <w:vAlign w:val="top"/>
          </w:tcPr>
          <w:p>
            <w:pPr>
              <w:spacing w:after="0" w:line="182" w:lineRule="auto"/>
            </w:pPr>
            <w:r>
              <w:rPr>
                <w:sz w:val="11"/>
              </w:rPr>
              <w:t>Director of Product &amp; Analytics</w:t>
            </w:r>
          </w:p>
        </w:tc>
        <w:tc>
          <w:tcPr>
            <w:tcW w:type="dxa" w:w="1190"/>
            <w:vAlign w:val="top"/>
          </w:tcPr>
          <w:p>
            <w:pPr>
              <w:spacing w:after="0" w:line="182" w:lineRule="auto"/>
            </w:pPr>
            <w:r>
              <w:rPr>
                <w:sz w:val="11"/>
              </w:rPr>
              <w:t>Product &amp; Analytics</w:t>
            </w:r>
          </w:p>
        </w:tc>
        <w:tc>
          <w:tcPr>
            <w:tcW w:type="dxa" w:w="1190"/>
            <w:vAlign w:val="top"/>
          </w:tcPr>
          <w:p>
            <w:pPr>
              <w:spacing w:after="0" w:line="182" w:lineRule="auto"/>
            </w:pPr>
            <w:r>
              <w:rPr>
                <w:sz w:val="11"/>
              </w:rPr>
              <w:t>Product Strategy, Design &amp; Analytics</w:t>
            </w:r>
          </w:p>
        </w:tc>
        <w:tc>
          <w:tcPr>
            <w:tcW w:type="dxa" w:w="1190"/>
            <w:vAlign w:val="top"/>
          </w:tcPr>
          <w:p>
            <w:pPr>
              <w:spacing w:after="0" w:line="182" w:lineRule="auto"/>
            </w:pPr>
            <w:r>
              <w:rPr>
                <w:sz w:val="11"/>
              </w:rPr>
              <w:t>L4 - Director / Senior Manager</w:t>
            </w:r>
          </w:p>
        </w:tc>
        <w:tc>
          <w:tcPr>
            <w:tcW w:type="dxa" w:w="1190"/>
            <w:vAlign w:val="top"/>
          </w:tcPr>
          <w:p>
            <w:pPr>
              <w:spacing w:after="0" w:line="182" w:lineRule="auto"/>
            </w:pPr>
            <w:r>
              <w:rPr>
                <w:sz w:val="11"/>
              </w:rPr>
              <w:t>Full-Time</w:t>
            </w:r>
          </w:p>
        </w:tc>
        <w:tc>
          <w:tcPr>
            <w:tcW w:type="dxa" w:w="1190"/>
            <w:vAlign w:val="top"/>
          </w:tcPr>
          <w:p>
            <w:pPr>
              <w:spacing w:after="0" w:line="182" w:lineRule="auto"/>
            </w:pPr>
            <w:r>
              <w:rPr>
                <w:sz w:val="11"/>
              </w:rPr>
              <w:t>Active</w:t>
            </w:r>
          </w:p>
        </w:tc>
        <w:tc>
          <w:tcPr>
            <w:tcW w:type="dxa" w:w="1190"/>
            <w:vAlign w:val="top"/>
          </w:tcPr>
          <w:p>
            <w:pPr>
              <w:spacing w:after="0" w:line="182" w:lineRule="auto"/>
            </w:pPr>
            <w:r>
              <w:rPr>
                <w:sz w:val="11"/>
              </w:rPr>
              <w:t>Bengaluru</w:t>
            </w:r>
          </w:p>
        </w:tc>
        <w:tc>
          <w:tcPr>
            <w:tcW w:type="dxa" w:w="1190"/>
            <w:vAlign w:val="top"/>
          </w:tcPr>
          <w:p>
            <w:pPr>
              <w:spacing w:after="0" w:line="182" w:lineRule="auto"/>
            </w:pPr>
            <w:r>
              <w:rPr>
                <w:sz w:val="11"/>
              </w:rPr>
              <w:t>Hybrid</w:t>
            </w:r>
          </w:p>
        </w:tc>
        <w:tc>
          <w:tcPr>
            <w:tcW w:type="dxa" w:w="1190"/>
            <w:vAlign w:val="top"/>
          </w:tcPr>
          <w:p>
            <w:pPr>
              <w:spacing w:after="0" w:line="182" w:lineRule="auto"/>
            </w:pPr>
            <w:r>
              <w:rPr>
                <w:sz w:val="11"/>
              </w:rPr>
              <w:t>14 July 2016</w:t>
            </w:r>
          </w:p>
        </w:tc>
        <w:tc>
          <w:tcPr>
            <w:tcW w:type="dxa" w:w="1190"/>
            <w:vAlign w:val="top"/>
          </w:tcPr>
          <w:p>
            <w:pPr>
              <w:spacing w:after="0" w:line="182" w:lineRule="auto"/>
            </w:pPr>
            <w:r>
              <w:rPr>
                <w:sz w:val="11"/>
              </w:rPr>
              <w:t>14 years</w:t>
            </w:r>
          </w:p>
        </w:tc>
        <w:tc>
          <w:tcPr>
            <w:tcW w:type="dxa" w:w="1190"/>
            <w:vAlign w:val="top"/>
          </w:tcPr>
          <w:p>
            <w:pPr>
              <w:spacing w:after="0" w:line="182" w:lineRule="auto"/>
            </w:pPr>
            <w:r>
              <w:rPr>
                <w:sz w:val="11"/>
              </w:rPr>
              <w:t>Ananya Iyer (EMP-4001)</w:t>
            </w:r>
          </w:p>
        </w:tc>
        <w:tc>
          <w:tcPr>
            <w:tcW w:type="dxa" w:w="1190"/>
            <w:vAlign w:val="top"/>
          </w:tcPr>
          <w:p>
            <w:pPr>
              <w:spacing w:after="0" w:line="182" w:lineRule="auto"/>
            </w:pPr>
            <w:r>
              <w:rPr>
                <w:sz w:val="11"/>
              </w:rPr>
              <w:t>Sneha Reddy; Divya Shetty</w:t>
            </w:r>
          </w:p>
        </w:tc>
        <w:tc>
          <w:tcPr>
            <w:tcW w:type="dxa" w:w="1190"/>
            <w:vAlign w:val="top"/>
          </w:tcPr>
          <w:p>
            <w:pPr>
              <w:spacing w:after="0" w:line="182" w:lineRule="auto"/>
            </w:pPr>
            <w:r>
              <w:rPr>
                <w:sz w:val="11"/>
              </w:rPr>
              <w:t>~28 employees across product/design/analytics</w:t>
            </w:r>
          </w:p>
        </w:tc>
        <w:tc>
          <w:tcPr>
            <w:tcW w:type="dxa" w:w="1190"/>
            <w:vAlign w:val="top"/>
          </w:tcPr>
          <w:p>
            <w:pPr>
              <w:spacing w:after="0" w:line="182" w:lineRule="auto"/>
            </w:pPr>
            <w:r>
              <w:rPr>
                <w:sz w:val="11"/>
              </w:rPr>
              <w:t>karan.bhatia@intentlock-demo.example</w:t>
            </w:r>
          </w:p>
        </w:tc>
        <w:tc>
          <w:tcPr>
            <w:tcW w:type="dxa" w:w="1190"/>
            <w:vAlign w:val="top"/>
          </w:tcPr>
          <w:p>
            <w:pPr>
              <w:spacing w:after="0" w:line="182" w:lineRule="auto"/>
            </w:pPr>
            <w:r>
              <w:rPr>
                <w:sz w:val="11"/>
              </w:rPr>
              <w:t>MBA Product Strategy; B.Tech Information Technology</w:t>
            </w:r>
          </w:p>
        </w:tc>
        <w:tc>
          <w:tcPr>
            <w:tcW w:type="dxa" w:w="1190"/>
            <w:vAlign w:val="top"/>
          </w:tcPr>
          <w:p>
            <w:pPr>
              <w:spacing w:after="0" w:line="182" w:lineRule="auto"/>
            </w:pPr>
            <w:r>
              <w:rPr>
                <w:sz w:val="11"/>
              </w:rPr>
              <w:t>Product Transformation Program; Customer Experience Modernization; Analytics Governance</w:t>
            </w:r>
          </w:p>
        </w:tc>
      </w:tr>
      <w:tr>
        <w:tc>
          <w:tcPr>
            <w:tcW w:type="dxa" w:w="1190"/>
            <w:vAlign w:val="top"/>
          </w:tcPr>
          <w:p>
            <w:pPr>
              <w:spacing w:after="0" w:line="182" w:lineRule="auto"/>
            </w:pPr>
            <w:r>
              <w:rPr>
                <w:sz w:val="11"/>
              </w:rPr>
              <w:t>EMP-3003</w:t>
            </w:r>
          </w:p>
        </w:tc>
        <w:tc>
          <w:tcPr>
            <w:tcW w:type="dxa" w:w="1190"/>
            <w:vAlign w:val="top"/>
          </w:tcPr>
          <w:p>
            <w:pPr>
              <w:spacing w:after="0" w:line="182" w:lineRule="auto"/>
            </w:pPr>
            <w:r>
              <w:rPr>
                <w:sz w:val="11"/>
              </w:rPr>
              <w:t>Nisha Gupta</w:t>
            </w:r>
          </w:p>
        </w:tc>
        <w:tc>
          <w:tcPr>
            <w:tcW w:type="dxa" w:w="1190"/>
            <w:vAlign w:val="top"/>
          </w:tcPr>
          <w:p>
            <w:pPr>
              <w:spacing w:after="0" w:line="182" w:lineRule="auto"/>
            </w:pPr>
            <w:r>
              <w:rPr>
                <w:sz w:val="11"/>
              </w:rPr>
              <w:t>Nisha</w:t>
            </w:r>
          </w:p>
        </w:tc>
        <w:tc>
          <w:tcPr>
            <w:tcW w:type="dxa" w:w="1190"/>
            <w:vAlign w:val="top"/>
          </w:tcPr>
          <w:p>
            <w:pPr>
              <w:spacing w:after="0" w:line="182" w:lineRule="auto"/>
            </w:pPr>
            <w:r>
              <w:rPr>
                <w:sz w:val="11"/>
              </w:rPr>
              <w:t>Director of Human Resources</w:t>
            </w:r>
          </w:p>
        </w:tc>
        <w:tc>
          <w:tcPr>
            <w:tcW w:type="dxa" w:w="1190"/>
            <w:vAlign w:val="top"/>
          </w:tcPr>
          <w:p>
            <w:pPr>
              <w:spacing w:after="0" w:line="182" w:lineRule="auto"/>
            </w:pPr>
            <w:r>
              <w:rPr>
                <w:sz w:val="11"/>
              </w:rPr>
              <w:t>Human Resources</w:t>
            </w:r>
          </w:p>
        </w:tc>
        <w:tc>
          <w:tcPr>
            <w:tcW w:type="dxa" w:w="1190"/>
            <w:vAlign w:val="top"/>
          </w:tcPr>
          <w:p>
            <w:pPr>
              <w:spacing w:after="0" w:line="182" w:lineRule="auto"/>
            </w:pPr>
            <w:r>
              <w:rPr>
                <w:sz w:val="11"/>
              </w:rPr>
              <w:t>People Operations &amp; Workforce Governance</w:t>
            </w:r>
          </w:p>
        </w:tc>
        <w:tc>
          <w:tcPr>
            <w:tcW w:type="dxa" w:w="1190"/>
            <w:vAlign w:val="top"/>
          </w:tcPr>
          <w:p>
            <w:pPr>
              <w:spacing w:after="0" w:line="182" w:lineRule="auto"/>
            </w:pPr>
            <w:r>
              <w:rPr>
                <w:sz w:val="11"/>
              </w:rPr>
              <w:t>L4 - Director / Senior Manager</w:t>
            </w:r>
          </w:p>
        </w:tc>
        <w:tc>
          <w:tcPr>
            <w:tcW w:type="dxa" w:w="1190"/>
            <w:vAlign w:val="top"/>
          </w:tcPr>
          <w:p>
            <w:pPr>
              <w:spacing w:after="0" w:line="182" w:lineRule="auto"/>
            </w:pPr>
            <w:r>
              <w:rPr>
                <w:sz w:val="11"/>
              </w:rPr>
              <w:t>Full-Time</w:t>
            </w:r>
          </w:p>
        </w:tc>
        <w:tc>
          <w:tcPr>
            <w:tcW w:type="dxa" w:w="1190"/>
            <w:vAlign w:val="top"/>
          </w:tcPr>
          <w:p>
            <w:pPr>
              <w:spacing w:after="0" w:line="182" w:lineRule="auto"/>
            </w:pPr>
            <w:r>
              <w:rPr>
                <w:sz w:val="11"/>
              </w:rPr>
              <w:t>Active</w:t>
            </w:r>
          </w:p>
        </w:tc>
        <w:tc>
          <w:tcPr>
            <w:tcW w:type="dxa" w:w="1190"/>
            <w:vAlign w:val="top"/>
          </w:tcPr>
          <w:p>
            <w:pPr>
              <w:spacing w:after="0" w:line="182" w:lineRule="auto"/>
            </w:pPr>
            <w:r>
              <w:rPr>
                <w:sz w:val="11"/>
              </w:rPr>
              <w:t>Bengaluru</w:t>
            </w:r>
          </w:p>
        </w:tc>
        <w:tc>
          <w:tcPr>
            <w:tcW w:type="dxa" w:w="1190"/>
            <w:vAlign w:val="top"/>
          </w:tcPr>
          <w:p>
            <w:pPr>
              <w:spacing w:after="0" w:line="182" w:lineRule="auto"/>
            </w:pPr>
            <w:r>
              <w:rPr>
                <w:sz w:val="11"/>
              </w:rPr>
              <w:t>Hybrid</w:t>
            </w:r>
          </w:p>
        </w:tc>
        <w:tc>
          <w:tcPr>
            <w:tcW w:type="dxa" w:w="1190"/>
            <w:vAlign w:val="top"/>
          </w:tcPr>
          <w:p>
            <w:pPr>
              <w:spacing w:after="0" w:line="182" w:lineRule="auto"/>
            </w:pPr>
            <w:r>
              <w:rPr>
                <w:sz w:val="11"/>
              </w:rPr>
              <w:t>08 February 2016</w:t>
            </w:r>
          </w:p>
        </w:tc>
        <w:tc>
          <w:tcPr>
            <w:tcW w:type="dxa" w:w="1190"/>
            <w:vAlign w:val="top"/>
          </w:tcPr>
          <w:p>
            <w:pPr>
              <w:spacing w:after="0" w:line="182" w:lineRule="auto"/>
            </w:pPr>
            <w:r>
              <w:rPr>
                <w:sz w:val="11"/>
              </w:rPr>
              <w:t>16 years</w:t>
            </w:r>
          </w:p>
        </w:tc>
        <w:tc>
          <w:tcPr>
            <w:tcW w:type="dxa" w:w="1190"/>
            <w:vAlign w:val="top"/>
          </w:tcPr>
          <w:p>
            <w:pPr>
              <w:spacing w:after="0" w:line="182" w:lineRule="auto"/>
            </w:pPr>
            <w:r>
              <w:rPr>
                <w:sz w:val="11"/>
              </w:rPr>
              <w:t>Ananya Iyer (EMP-4001)</w:t>
            </w:r>
          </w:p>
        </w:tc>
        <w:tc>
          <w:tcPr>
            <w:tcW w:type="dxa" w:w="1190"/>
            <w:vAlign w:val="top"/>
          </w:tcPr>
          <w:p>
            <w:pPr>
              <w:spacing w:after="0" w:line="182" w:lineRule="auto"/>
            </w:pPr>
            <w:r>
              <w:rPr>
                <w:sz w:val="11"/>
              </w:rPr>
              <w:t>HR Operations Manager; Talent Manager; Learning Manager</w:t>
            </w:r>
          </w:p>
        </w:tc>
        <w:tc>
          <w:tcPr>
            <w:tcW w:type="dxa" w:w="1190"/>
            <w:vAlign w:val="top"/>
          </w:tcPr>
          <w:p>
            <w:pPr>
              <w:spacing w:after="0" w:line="182" w:lineRule="auto"/>
            </w:pPr>
            <w:r>
              <w:rPr>
                <w:sz w:val="11"/>
              </w:rPr>
              <w:t>~22 HR and people-operations staff</w:t>
            </w:r>
          </w:p>
        </w:tc>
        <w:tc>
          <w:tcPr>
            <w:tcW w:type="dxa" w:w="1190"/>
            <w:vAlign w:val="top"/>
          </w:tcPr>
          <w:p>
            <w:pPr>
              <w:spacing w:after="0" w:line="182" w:lineRule="auto"/>
            </w:pPr>
            <w:r>
              <w:rPr>
                <w:sz w:val="11"/>
              </w:rPr>
              <w:t>nisha.gupta@intentlock-demo.example</w:t>
            </w:r>
          </w:p>
        </w:tc>
        <w:tc>
          <w:tcPr>
            <w:tcW w:type="dxa" w:w="1190"/>
            <w:vAlign w:val="top"/>
          </w:tcPr>
          <w:p>
            <w:pPr>
              <w:spacing w:after="0" w:line="182" w:lineRule="auto"/>
            </w:pPr>
            <w:r>
              <w:rPr>
                <w:sz w:val="11"/>
              </w:rPr>
              <w:t>MBA Human Resources; B.A. Psychology</w:t>
            </w:r>
          </w:p>
        </w:tc>
        <w:tc>
          <w:tcPr>
            <w:tcW w:type="dxa" w:w="1190"/>
            <w:vAlign w:val="top"/>
          </w:tcPr>
          <w:p>
            <w:pPr>
              <w:spacing w:after="0" w:line="182" w:lineRule="auto"/>
            </w:pPr>
            <w:r>
              <w:rPr>
                <w:sz w:val="11"/>
              </w:rPr>
              <w:t>Workforce Planning; Talent Framework; Employee Experience Program</w:t>
            </w:r>
          </w:p>
        </w:tc>
      </w:tr>
      <w:tr>
        <w:tc>
          <w:tcPr>
            <w:tcW w:type="dxa" w:w="1190"/>
            <w:vAlign w:val="top"/>
          </w:tcPr>
          <w:p>
            <w:pPr>
              <w:spacing w:after="0" w:line="182" w:lineRule="auto"/>
            </w:pPr>
            <w:r>
              <w:rPr>
                <w:sz w:val="11"/>
              </w:rPr>
              <w:t>EMP-3004</w:t>
            </w:r>
          </w:p>
        </w:tc>
        <w:tc>
          <w:tcPr>
            <w:tcW w:type="dxa" w:w="1190"/>
            <w:vAlign w:val="top"/>
          </w:tcPr>
          <w:p>
            <w:pPr>
              <w:spacing w:after="0" w:line="182" w:lineRule="auto"/>
            </w:pPr>
            <w:r>
              <w:rPr>
                <w:sz w:val="11"/>
              </w:rPr>
              <w:t>Sameer Kulkarni</w:t>
            </w:r>
          </w:p>
        </w:tc>
        <w:tc>
          <w:tcPr>
            <w:tcW w:type="dxa" w:w="1190"/>
            <w:vAlign w:val="top"/>
          </w:tcPr>
          <w:p>
            <w:pPr>
              <w:spacing w:after="0" w:line="182" w:lineRule="auto"/>
            </w:pPr>
            <w:r>
              <w:rPr>
                <w:sz w:val="11"/>
              </w:rPr>
              <w:t>Sameer</w:t>
            </w:r>
          </w:p>
        </w:tc>
        <w:tc>
          <w:tcPr>
            <w:tcW w:type="dxa" w:w="1190"/>
            <w:vAlign w:val="top"/>
          </w:tcPr>
          <w:p>
            <w:pPr>
              <w:spacing w:after="0" w:line="182" w:lineRule="auto"/>
            </w:pPr>
            <w:r>
              <w:rPr>
                <w:sz w:val="11"/>
              </w:rPr>
              <w:t>Director of Operations</w:t>
            </w:r>
          </w:p>
        </w:tc>
        <w:tc>
          <w:tcPr>
            <w:tcW w:type="dxa" w:w="1190"/>
            <w:vAlign w:val="top"/>
          </w:tcPr>
          <w:p>
            <w:pPr>
              <w:spacing w:after="0" w:line="182" w:lineRule="auto"/>
            </w:pPr>
            <w:r>
              <w:rPr>
                <w:sz w:val="11"/>
              </w:rPr>
              <w:t>Operations</w:t>
            </w:r>
          </w:p>
        </w:tc>
        <w:tc>
          <w:tcPr>
            <w:tcW w:type="dxa" w:w="1190"/>
            <w:vAlign w:val="top"/>
          </w:tcPr>
          <w:p>
            <w:pPr>
              <w:spacing w:after="0" w:line="182" w:lineRule="auto"/>
            </w:pPr>
            <w:r>
              <w:rPr>
                <w:sz w:val="11"/>
              </w:rPr>
              <w:t>Business Operations &amp; Process Governance</w:t>
            </w:r>
          </w:p>
        </w:tc>
        <w:tc>
          <w:tcPr>
            <w:tcW w:type="dxa" w:w="1190"/>
            <w:vAlign w:val="top"/>
          </w:tcPr>
          <w:p>
            <w:pPr>
              <w:spacing w:after="0" w:line="182" w:lineRule="auto"/>
            </w:pPr>
            <w:r>
              <w:rPr>
                <w:sz w:val="11"/>
              </w:rPr>
              <w:t>L4 - Director / Senior Manager</w:t>
            </w:r>
          </w:p>
        </w:tc>
        <w:tc>
          <w:tcPr>
            <w:tcW w:type="dxa" w:w="1190"/>
            <w:vAlign w:val="top"/>
          </w:tcPr>
          <w:p>
            <w:pPr>
              <w:spacing w:after="0" w:line="182" w:lineRule="auto"/>
            </w:pPr>
            <w:r>
              <w:rPr>
                <w:sz w:val="11"/>
              </w:rPr>
              <w:t>Full-Time</w:t>
            </w:r>
          </w:p>
        </w:tc>
        <w:tc>
          <w:tcPr>
            <w:tcW w:type="dxa" w:w="1190"/>
            <w:vAlign w:val="top"/>
          </w:tcPr>
          <w:p>
            <w:pPr>
              <w:spacing w:after="0" w:line="182" w:lineRule="auto"/>
            </w:pPr>
            <w:r>
              <w:rPr>
                <w:sz w:val="11"/>
              </w:rPr>
              <w:t>Active</w:t>
            </w:r>
          </w:p>
        </w:tc>
        <w:tc>
          <w:tcPr>
            <w:tcW w:type="dxa" w:w="1190"/>
            <w:vAlign w:val="top"/>
          </w:tcPr>
          <w:p>
            <w:pPr>
              <w:spacing w:after="0" w:line="182" w:lineRule="auto"/>
            </w:pPr>
            <w:r>
              <w:rPr>
                <w:sz w:val="11"/>
              </w:rPr>
              <w:t>Bengaluru</w:t>
            </w:r>
          </w:p>
        </w:tc>
        <w:tc>
          <w:tcPr>
            <w:tcW w:type="dxa" w:w="1190"/>
            <w:vAlign w:val="top"/>
          </w:tcPr>
          <w:p>
            <w:pPr>
              <w:spacing w:after="0" w:line="182" w:lineRule="auto"/>
            </w:pPr>
            <w:r>
              <w:rPr>
                <w:sz w:val="11"/>
              </w:rPr>
              <w:t>Hybrid</w:t>
            </w:r>
          </w:p>
        </w:tc>
        <w:tc>
          <w:tcPr>
            <w:tcW w:type="dxa" w:w="1190"/>
            <w:vAlign w:val="top"/>
          </w:tcPr>
          <w:p>
            <w:pPr>
              <w:spacing w:after="0" w:line="182" w:lineRule="auto"/>
            </w:pPr>
            <w:r>
              <w:rPr>
                <w:sz w:val="11"/>
              </w:rPr>
              <w:t>21 September 2015</w:t>
            </w:r>
          </w:p>
        </w:tc>
        <w:tc>
          <w:tcPr>
            <w:tcW w:type="dxa" w:w="1190"/>
            <w:vAlign w:val="top"/>
          </w:tcPr>
          <w:p>
            <w:pPr>
              <w:spacing w:after="0" w:line="182" w:lineRule="auto"/>
            </w:pPr>
            <w:r>
              <w:rPr>
                <w:sz w:val="11"/>
              </w:rPr>
              <w:t>17 years</w:t>
            </w:r>
          </w:p>
        </w:tc>
        <w:tc>
          <w:tcPr>
            <w:tcW w:type="dxa" w:w="1190"/>
            <w:vAlign w:val="top"/>
          </w:tcPr>
          <w:p>
            <w:pPr>
              <w:spacing w:after="0" w:line="182" w:lineRule="auto"/>
            </w:pPr>
            <w:r>
              <w:rPr>
                <w:sz w:val="11"/>
              </w:rPr>
              <w:t>Ananya Iyer (EMP-4001)</w:t>
            </w:r>
          </w:p>
        </w:tc>
        <w:tc>
          <w:tcPr>
            <w:tcW w:type="dxa" w:w="1190"/>
            <w:vAlign w:val="top"/>
          </w:tcPr>
          <w:p>
            <w:pPr>
              <w:spacing w:after="0" w:line="182" w:lineRule="auto"/>
            </w:pPr>
            <w:r>
              <w:rPr>
                <w:sz w:val="11"/>
              </w:rPr>
              <w:t>Operations Managers; Program Managers; Service Delivery Leads</w:t>
            </w:r>
          </w:p>
        </w:tc>
        <w:tc>
          <w:tcPr>
            <w:tcW w:type="dxa" w:w="1190"/>
            <w:vAlign w:val="top"/>
          </w:tcPr>
          <w:p>
            <w:pPr>
              <w:spacing w:after="0" w:line="182" w:lineRule="auto"/>
            </w:pPr>
            <w:r>
              <w:rPr>
                <w:sz w:val="11"/>
              </w:rPr>
              <w:t>~35 operations/program staff</w:t>
            </w:r>
          </w:p>
        </w:tc>
        <w:tc>
          <w:tcPr>
            <w:tcW w:type="dxa" w:w="1190"/>
            <w:vAlign w:val="top"/>
          </w:tcPr>
          <w:p>
            <w:pPr>
              <w:spacing w:after="0" w:line="182" w:lineRule="auto"/>
            </w:pPr>
            <w:r>
              <w:rPr>
                <w:sz w:val="11"/>
              </w:rPr>
              <w:t>sameer.kulkarni@intentlock-demo.example</w:t>
            </w:r>
          </w:p>
        </w:tc>
        <w:tc>
          <w:tcPr>
            <w:tcW w:type="dxa" w:w="1190"/>
            <w:vAlign w:val="top"/>
          </w:tcPr>
          <w:p>
            <w:pPr>
              <w:spacing w:after="0" w:line="182" w:lineRule="auto"/>
            </w:pPr>
            <w:r>
              <w:rPr>
                <w:sz w:val="11"/>
              </w:rPr>
              <w:t>MBA Operations; B.E. Industrial Engineering</w:t>
            </w:r>
          </w:p>
        </w:tc>
        <w:tc>
          <w:tcPr>
            <w:tcW w:type="dxa" w:w="1190"/>
            <w:vAlign w:val="top"/>
          </w:tcPr>
          <w:p>
            <w:pPr>
              <w:spacing w:after="0" w:line="182" w:lineRule="auto"/>
            </w:pPr>
            <w:r>
              <w:rPr>
                <w:sz w:val="11"/>
              </w:rPr>
              <w:t>Operational Excellence Program; Service Delivery Transformation; Process Automation</w:t>
            </w:r>
          </w:p>
        </w:tc>
      </w:tr>
      <w:tr>
        <w:tc>
          <w:tcPr>
            <w:tcW w:type="dxa" w:w="1190"/>
            <w:vAlign w:val="top"/>
          </w:tcPr>
          <w:p>
            <w:pPr>
              <w:spacing w:after="0" w:line="182" w:lineRule="auto"/>
            </w:pPr>
            <w:r>
              <w:rPr>
                <w:sz w:val="11"/>
              </w:rPr>
              <w:t>EMP-3005</w:t>
            </w:r>
          </w:p>
        </w:tc>
        <w:tc>
          <w:tcPr>
            <w:tcW w:type="dxa" w:w="1190"/>
            <w:vAlign w:val="top"/>
          </w:tcPr>
          <w:p>
            <w:pPr>
              <w:spacing w:after="0" w:line="182" w:lineRule="auto"/>
            </w:pPr>
            <w:r>
              <w:rPr>
                <w:sz w:val="11"/>
              </w:rPr>
              <w:t>Maya Krishnan</w:t>
            </w:r>
          </w:p>
        </w:tc>
        <w:tc>
          <w:tcPr>
            <w:tcW w:type="dxa" w:w="1190"/>
            <w:vAlign w:val="top"/>
          </w:tcPr>
          <w:p>
            <w:pPr>
              <w:spacing w:after="0" w:line="182" w:lineRule="auto"/>
            </w:pPr>
            <w:r>
              <w:rPr>
                <w:sz w:val="11"/>
              </w:rPr>
              <w:t>Maya</w:t>
            </w:r>
          </w:p>
        </w:tc>
        <w:tc>
          <w:tcPr>
            <w:tcW w:type="dxa" w:w="1190"/>
            <w:vAlign w:val="top"/>
          </w:tcPr>
          <w:p>
            <w:pPr>
              <w:spacing w:after="0" w:line="182" w:lineRule="auto"/>
            </w:pPr>
            <w:r>
              <w:rPr>
                <w:sz w:val="11"/>
              </w:rPr>
              <w:t>Director of Information Security</w:t>
            </w:r>
          </w:p>
        </w:tc>
        <w:tc>
          <w:tcPr>
            <w:tcW w:type="dxa" w:w="1190"/>
            <w:vAlign w:val="top"/>
          </w:tcPr>
          <w:p>
            <w:pPr>
              <w:spacing w:after="0" w:line="182" w:lineRule="auto"/>
            </w:pPr>
            <w:r>
              <w:rPr>
                <w:sz w:val="11"/>
              </w:rPr>
              <w:t>Information Security</w:t>
            </w:r>
          </w:p>
        </w:tc>
        <w:tc>
          <w:tcPr>
            <w:tcW w:type="dxa" w:w="1190"/>
            <w:vAlign w:val="top"/>
          </w:tcPr>
          <w:p>
            <w:pPr>
              <w:spacing w:after="0" w:line="182" w:lineRule="auto"/>
            </w:pPr>
            <w:r>
              <w:rPr>
                <w:sz w:val="11"/>
              </w:rPr>
              <w:t>Security Governance, Risk &amp; Assurance</w:t>
            </w:r>
          </w:p>
        </w:tc>
        <w:tc>
          <w:tcPr>
            <w:tcW w:type="dxa" w:w="1190"/>
            <w:vAlign w:val="top"/>
          </w:tcPr>
          <w:p>
            <w:pPr>
              <w:spacing w:after="0" w:line="182" w:lineRule="auto"/>
            </w:pPr>
            <w:r>
              <w:rPr>
                <w:sz w:val="11"/>
              </w:rPr>
              <w:t>L4 - Director / Senior Manager</w:t>
            </w:r>
          </w:p>
        </w:tc>
        <w:tc>
          <w:tcPr>
            <w:tcW w:type="dxa" w:w="1190"/>
            <w:vAlign w:val="top"/>
          </w:tcPr>
          <w:p>
            <w:pPr>
              <w:spacing w:after="0" w:line="182" w:lineRule="auto"/>
            </w:pPr>
            <w:r>
              <w:rPr>
                <w:sz w:val="11"/>
              </w:rPr>
              <w:t>Full-Time</w:t>
            </w:r>
          </w:p>
        </w:tc>
        <w:tc>
          <w:tcPr>
            <w:tcW w:type="dxa" w:w="1190"/>
            <w:vAlign w:val="top"/>
          </w:tcPr>
          <w:p>
            <w:pPr>
              <w:spacing w:after="0" w:line="182" w:lineRule="auto"/>
            </w:pPr>
            <w:r>
              <w:rPr>
                <w:sz w:val="11"/>
              </w:rPr>
              <w:t>Active</w:t>
            </w:r>
          </w:p>
        </w:tc>
        <w:tc>
          <w:tcPr>
            <w:tcW w:type="dxa" w:w="1190"/>
            <w:vAlign w:val="top"/>
          </w:tcPr>
          <w:p>
            <w:pPr>
              <w:spacing w:after="0" w:line="182" w:lineRule="auto"/>
            </w:pPr>
            <w:r>
              <w:rPr>
                <w:sz w:val="11"/>
              </w:rPr>
              <w:t>Bengaluru</w:t>
            </w:r>
          </w:p>
        </w:tc>
        <w:tc>
          <w:tcPr>
            <w:tcW w:type="dxa" w:w="1190"/>
            <w:vAlign w:val="top"/>
          </w:tcPr>
          <w:p>
            <w:pPr>
              <w:spacing w:after="0" w:line="182" w:lineRule="auto"/>
            </w:pPr>
            <w:r>
              <w:rPr>
                <w:sz w:val="11"/>
              </w:rPr>
              <w:t>Hybrid</w:t>
            </w:r>
          </w:p>
        </w:tc>
        <w:tc>
          <w:tcPr>
            <w:tcW w:type="dxa" w:w="1190"/>
            <w:vAlign w:val="top"/>
          </w:tcPr>
          <w:p>
            <w:pPr>
              <w:spacing w:after="0" w:line="182" w:lineRule="auto"/>
            </w:pPr>
            <w:r>
              <w:rPr>
                <w:sz w:val="11"/>
              </w:rPr>
              <w:t>11 April 2016</w:t>
            </w:r>
          </w:p>
        </w:tc>
        <w:tc>
          <w:tcPr>
            <w:tcW w:type="dxa" w:w="1190"/>
            <w:vAlign w:val="top"/>
          </w:tcPr>
          <w:p>
            <w:pPr>
              <w:spacing w:after="0" w:line="182" w:lineRule="auto"/>
            </w:pPr>
            <w:r>
              <w:rPr>
                <w:sz w:val="11"/>
              </w:rPr>
              <w:t>15 years</w:t>
            </w:r>
          </w:p>
        </w:tc>
        <w:tc>
          <w:tcPr>
            <w:tcW w:type="dxa" w:w="1190"/>
            <w:vAlign w:val="top"/>
          </w:tcPr>
          <w:p>
            <w:pPr>
              <w:spacing w:after="0" w:line="182" w:lineRule="auto"/>
            </w:pPr>
            <w:r>
              <w:rPr>
                <w:sz w:val="11"/>
              </w:rPr>
              <w:t>Ananya Iyer (EMP-4001)</w:t>
            </w:r>
          </w:p>
        </w:tc>
        <w:tc>
          <w:tcPr>
            <w:tcW w:type="dxa" w:w="1190"/>
            <w:vAlign w:val="top"/>
          </w:tcPr>
          <w:p>
            <w:pPr>
              <w:spacing w:after="0" w:line="182" w:lineRule="auto"/>
            </w:pPr>
            <w:r>
              <w:rPr>
                <w:sz w:val="11"/>
              </w:rPr>
              <w:t>Security Engineering Manager; GRC Manager; Security Operations Lead</w:t>
            </w:r>
          </w:p>
        </w:tc>
        <w:tc>
          <w:tcPr>
            <w:tcW w:type="dxa" w:w="1190"/>
            <w:vAlign w:val="top"/>
          </w:tcPr>
          <w:p>
            <w:pPr>
              <w:spacing w:after="0" w:line="182" w:lineRule="auto"/>
            </w:pPr>
            <w:r>
              <w:rPr>
                <w:sz w:val="11"/>
              </w:rPr>
              <w:t>~24 security/GRC staff</w:t>
            </w:r>
          </w:p>
        </w:tc>
        <w:tc>
          <w:tcPr>
            <w:tcW w:type="dxa" w:w="1190"/>
            <w:vAlign w:val="top"/>
          </w:tcPr>
          <w:p>
            <w:pPr>
              <w:spacing w:after="0" w:line="182" w:lineRule="auto"/>
            </w:pPr>
            <w:r>
              <w:rPr>
                <w:sz w:val="11"/>
              </w:rPr>
              <w:t>maya.krishnan@intentlock-demo.example</w:t>
            </w:r>
          </w:p>
        </w:tc>
        <w:tc>
          <w:tcPr>
            <w:tcW w:type="dxa" w:w="1190"/>
            <w:vAlign w:val="top"/>
          </w:tcPr>
          <w:p>
            <w:pPr>
              <w:spacing w:after="0" w:line="182" w:lineRule="auto"/>
            </w:pPr>
            <w:r>
              <w:rPr>
                <w:sz w:val="11"/>
              </w:rPr>
              <w:t>M.Tech Cybersecurity; B.Tech Computer Science</w:t>
            </w:r>
          </w:p>
        </w:tc>
        <w:tc>
          <w:tcPr>
            <w:tcW w:type="dxa" w:w="1190"/>
            <w:vAlign w:val="top"/>
          </w:tcPr>
          <w:p>
            <w:pPr>
              <w:spacing w:after="0" w:line="182" w:lineRule="auto"/>
            </w:pPr>
            <w:r>
              <w:rPr>
                <w:sz w:val="11"/>
              </w:rPr>
              <w:t>Identity Security Program; Security Assurance; Incident Readiness; Agent Security Governance</w:t>
            </w:r>
          </w:p>
        </w:tc>
      </w:tr>
    </w:tbl>
    <w:p>
      <w:r>
        <w:br w:type="page"/>
      </w:r>
    </w:p>
    <w:p>
      <w:pPr>
        <w:pStyle w:val="Heading1"/>
      </w:pPr>
      <w:r>
        <w:t>Table 2 - Career Progression, Previous Work, Programs and Senior Leadership History</w:t>
      </w:r>
    </w:p>
    <w:tbl>
      <w:tblPr>
        <w:tblStyle w:val="TableGrid"/>
        <w:tblW w:type="auto" w:w="0"/>
        <w:jc w:val="center"/>
        <w:tblLook w:firstColumn="1" w:firstRow="1" w:lastColumn="0" w:lastRow="0" w:noHBand="0" w:noVBand="1" w:val="04A0"/>
      </w:tblPr>
      <w:tblGrid>
        <w:gridCol w:w="1507"/>
        <w:gridCol w:w="1507"/>
        <w:gridCol w:w="1507"/>
        <w:gridCol w:w="1507"/>
        <w:gridCol w:w="1507"/>
        <w:gridCol w:w="1507"/>
        <w:gridCol w:w="1507"/>
        <w:gridCol w:w="1507"/>
        <w:gridCol w:w="1507"/>
        <w:gridCol w:w="1507"/>
        <w:gridCol w:w="1507"/>
        <w:gridCol w:w="1507"/>
        <w:gridCol w:w="1507"/>
        <w:gridCol w:w="1507"/>
        <w:gridCol w:w="1507"/>
      </w:tblGrid>
      <w:tr>
        <w:trPr>
          <w:tblHeader w:val="true"/>
        </w:trPr>
        <w:tc>
          <w:tcPr>
            <w:tcW w:type="dxa" w:w="1507"/>
            <w:shd w:fill="1F4E78"/>
          </w:tcPr>
          <w:p>
            <w:r>
              <w:rPr>
                <w:b/>
                <w:color w:val="FFFFFF"/>
                <w:sz w:val="11"/>
              </w:rPr>
              <w:t>Employee ID</w:t>
            </w:r>
          </w:p>
        </w:tc>
        <w:tc>
          <w:tcPr>
            <w:tcW w:type="dxa" w:w="1507"/>
            <w:shd w:fill="1F4E78"/>
          </w:tcPr>
          <w:p>
            <w:r>
              <w:rPr>
                <w:b/>
                <w:color w:val="FFFFFF"/>
                <w:sz w:val="11"/>
              </w:rPr>
              <w:t>Full Name</w:t>
            </w:r>
          </w:p>
        </w:tc>
        <w:tc>
          <w:tcPr>
            <w:tcW w:type="dxa" w:w="1507"/>
            <w:shd w:fill="1F4E78"/>
          </w:tcPr>
          <w:p>
            <w:r>
              <w:rPr>
                <w:b/>
                <w:color w:val="FFFFFF"/>
                <w:sz w:val="11"/>
              </w:rPr>
              <w:t>Professional Summary</w:t>
            </w:r>
          </w:p>
        </w:tc>
        <w:tc>
          <w:tcPr>
            <w:tcW w:type="dxa" w:w="1507"/>
            <w:shd w:fill="1F4E78"/>
          </w:tcPr>
          <w:p>
            <w:r>
              <w:rPr>
                <w:b/>
                <w:color w:val="FFFFFF"/>
                <w:sz w:val="11"/>
              </w:rPr>
              <w:t>Career Progression</w:t>
            </w:r>
          </w:p>
        </w:tc>
        <w:tc>
          <w:tcPr>
            <w:tcW w:type="dxa" w:w="1507"/>
            <w:shd w:fill="1F4E78"/>
          </w:tcPr>
          <w:p>
            <w:r>
              <w:rPr>
                <w:b/>
                <w:color w:val="FFFFFF"/>
                <w:sz w:val="11"/>
              </w:rPr>
              <w:t>Previous Organizations</w:t>
            </w:r>
          </w:p>
        </w:tc>
        <w:tc>
          <w:tcPr>
            <w:tcW w:type="dxa" w:w="1507"/>
            <w:shd w:fill="1F4E78"/>
          </w:tcPr>
          <w:p>
            <w:r>
              <w:rPr>
                <w:b/>
                <w:color w:val="FFFFFF"/>
                <w:sz w:val="11"/>
              </w:rPr>
              <w:t>Earlier Career Responsibilities</w:t>
            </w:r>
          </w:p>
        </w:tc>
        <w:tc>
          <w:tcPr>
            <w:tcW w:type="dxa" w:w="1507"/>
            <w:shd w:fill="1F4E78"/>
          </w:tcPr>
          <w:p>
            <w:r>
              <w:rPr>
                <w:b/>
                <w:color w:val="FFFFFF"/>
                <w:sz w:val="11"/>
              </w:rPr>
              <w:t>Internal Promotion History</w:t>
            </w:r>
          </w:p>
        </w:tc>
        <w:tc>
          <w:tcPr>
            <w:tcW w:type="dxa" w:w="1507"/>
            <w:shd w:fill="1F4E78"/>
          </w:tcPr>
          <w:p>
            <w:r>
              <w:rPr>
                <w:b/>
                <w:color w:val="FFFFFF"/>
                <w:sz w:val="11"/>
              </w:rPr>
              <w:t>Major Past Programs</w:t>
            </w:r>
          </w:p>
        </w:tc>
        <w:tc>
          <w:tcPr>
            <w:tcW w:type="dxa" w:w="1507"/>
            <w:shd w:fill="1F4E78"/>
          </w:tcPr>
          <w:p>
            <w:r>
              <w:rPr>
                <w:b/>
                <w:color w:val="FFFFFF"/>
                <w:sz w:val="11"/>
              </w:rPr>
              <w:t>Current Strategic Responsibilities</w:t>
            </w:r>
          </w:p>
        </w:tc>
        <w:tc>
          <w:tcPr>
            <w:tcW w:type="dxa" w:w="1507"/>
            <w:shd w:fill="1F4E78"/>
          </w:tcPr>
          <w:p>
            <w:r>
              <w:rPr>
                <w:b/>
                <w:color w:val="FFFFFF"/>
                <w:sz w:val="11"/>
              </w:rPr>
              <w:t>Managers / Functions Overseen</w:t>
            </w:r>
          </w:p>
        </w:tc>
        <w:tc>
          <w:tcPr>
            <w:tcW w:type="dxa" w:w="1507"/>
            <w:shd w:fill="1F4E78"/>
          </w:tcPr>
          <w:p>
            <w:r>
              <w:rPr>
                <w:b/>
                <w:color w:val="FFFFFF"/>
                <w:sz w:val="11"/>
              </w:rPr>
              <w:t>Leadership Responsibilities</w:t>
            </w:r>
          </w:p>
        </w:tc>
        <w:tc>
          <w:tcPr>
            <w:tcW w:type="dxa" w:w="1507"/>
            <w:shd w:fill="1F4E78"/>
          </w:tcPr>
          <w:p>
            <w:r>
              <w:rPr>
                <w:b/>
                <w:color w:val="FFFFFF"/>
                <w:sz w:val="11"/>
              </w:rPr>
              <w:t>Technical / Domain Expertise</w:t>
            </w:r>
          </w:p>
        </w:tc>
        <w:tc>
          <w:tcPr>
            <w:tcW w:type="dxa" w:w="1507"/>
            <w:shd w:fill="1F4E78"/>
          </w:tcPr>
          <w:p>
            <w:r>
              <w:rPr>
                <w:b/>
                <w:color w:val="FFFFFF"/>
                <w:sz w:val="11"/>
              </w:rPr>
              <w:t>Strategic Skills</w:t>
            </w:r>
          </w:p>
        </w:tc>
        <w:tc>
          <w:tcPr>
            <w:tcW w:type="dxa" w:w="1507"/>
            <w:shd w:fill="1F4E78"/>
          </w:tcPr>
          <w:p>
            <w:r>
              <w:rPr>
                <w:b/>
                <w:color w:val="FFFFFF"/>
                <w:sz w:val="11"/>
              </w:rPr>
              <w:t>Achievements</w:t>
            </w:r>
          </w:p>
        </w:tc>
        <w:tc>
          <w:tcPr>
            <w:tcW w:type="dxa" w:w="1507"/>
            <w:shd w:fill="1F4E78"/>
          </w:tcPr>
          <w:p>
            <w:r>
              <w:rPr>
                <w:b/>
                <w:color w:val="FFFFFF"/>
                <w:sz w:val="11"/>
              </w:rPr>
              <w:t>Current Strategic Goals</w:t>
            </w:r>
          </w:p>
        </w:tc>
      </w:tr>
      <w:tr>
        <w:tc>
          <w:tcPr>
            <w:tcW w:type="dxa" w:w="1507"/>
            <w:vAlign w:val="top"/>
          </w:tcPr>
          <w:p>
            <w:pPr>
              <w:spacing w:after="0" w:line="182" w:lineRule="auto"/>
            </w:pPr>
            <w:r>
              <w:rPr>
                <w:sz w:val="11"/>
              </w:rPr>
              <w:t>EMP-3001</w:t>
            </w:r>
          </w:p>
        </w:tc>
        <w:tc>
          <w:tcPr>
            <w:tcW w:type="dxa" w:w="1507"/>
            <w:vAlign w:val="top"/>
          </w:tcPr>
          <w:p>
            <w:pPr>
              <w:spacing w:after="0" w:line="182" w:lineRule="auto"/>
            </w:pPr>
            <w:r>
              <w:rPr>
                <w:sz w:val="11"/>
              </w:rPr>
              <w:t>Vikram Malhotra</w:t>
            </w:r>
          </w:p>
        </w:tc>
        <w:tc>
          <w:tcPr>
            <w:tcW w:type="dxa" w:w="1507"/>
            <w:vAlign w:val="top"/>
          </w:tcPr>
          <w:p>
            <w:pPr>
              <w:spacing w:after="0" w:line="182" w:lineRule="auto"/>
            </w:pPr>
            <w:r>
              <w:rPr>
                <w:sz w:val="11"/>
              </w:rPr>
              <w:t>Senior engineering leader accountable for engineering strategy, technical governance, multi-team delivery, leadership development and department-level resource decisions.</w:t>
            </w:r>
          </w:p>
        </w:tc>
        <w:tc>
          <w:tcPr>
            <w:tcW w:type="dxa" w:w="1507"/>
            <w:vAlign w:val="top"/>
          </w:tcPr>
          <w:p>
            <w:pPr>
              <w:spacing w:after="0" w:line="182" w:lineRule="auto"/>
            </w:pPr>
            <w:r>
              <w:rPr>
                <w:sz w:val="11"/>
              </w:rPr>
              <w:t>Software Engineer -&gt; Senior Engineer -&gt; Engineering Manager -&gt; Senior Engineering Manager -&gt; Director of Engineering.</w:t>
            </w:r>
          </w:p>
        </w:tc>
        <w:tc>
          <w:tcPr>
            <w:tcW w:type="dxa" w:w="1507"/>
            <w:vAlign w:val="top"/>
          </w:tcPr>
          <w:p>
            <w:pPr>
              <w:spacing w:after="0" w:line="182" w:lineRule="auto"/>
            </w:pPr>
            <w:r>
              <w:rPr>
                <w:sz w:val="11"/>
              </w:rPr>
              <w:t>Northstar Demo Systems - Software Engineer; Vertex Demo Technologies - Senior Engineer/Engineering Manager; IntentLock Demo Company - Senior Manager/Director.</w:t>
            </w:r>
          </w:p>
        </w:tc>
        <w:tc>
          <w:tcPr>
            <w:tcW w:type="dxa" w:w="1507"/>
            <w:vAlign w:val="top"/>
          </w:tcPr>
          <w:p>
            <w:pPr>
              <w:spacing w:after="0" w:line="182" w:lineRule="auto"/>
            </w:pPr>
            <w:r>
              <w:rPr>
                <w:sz w:val="11"/>
              </w:rPr>
              <w:t>Backend/platform engineering, architecture design, incident resolution, technical mentorship, engineering management and multi-team delivery.</w:t>
            </w:r>
          </w:p>
        </w:tc>
        <w:tc>
          <w:tcPr>
            <w:tcW w:type="dxa" w:w="1507"/>
            <w:vAlign w:val="top"/>
          </w:tcPr>
          <w:p>
            <w:pPr>
              <w:spacing w:after="0" w:line="182" w:lineRule="auto"/>
            </w:pPr>
            <w:r>
              <w:rPr>
                <w:sz w:val="11"/>
              </w:rPr>
              <w:t>Joined IntentLock Demo Company in senior engineering leadership; promoted to Director after leading platform modernization and improving multi-team delivery governance.</w:t>
            </w:r>
          </w:p>
        </w:tc>
        <w:tc>
          <w:tcPr>
            <w:tcW w:type="dxa" w:w="1507"/>
            <w:vAlign w:val="top"/>
          </w:tcPr>
          <w:p>
            <w:pPr>
              <w:spacing w:after="0" w:line="182" w:lineRule="auto"/>
            </w:pPr>
            <w:r>
              <w:rPr>
                <w:sz w:val="11"/>
              </w:rPr>
              <w:t>API Replatforming; Cloud Migration; Developer Productivity; Reliability Improvement; Engineering Hiring Scale-up.</w:t>
            </w:r>
          </w:p>
        </w:tc>
        <w:tc>
          <w:tcPr>
            <w:tcW w:type="dxa" w:w="1507"/>
            <w:vAlign w:val="top"/>
          </w:tcPr>
          <w:p>
            <w:pPr>
              <w:spacing w:after="0" w:line="182" w:lineRule="auto"/>
            </w:pPr>
            <w:r>
              <w:rPr>
                <w:sz w:val="11"/>
              </w:rPr>
              <w:t>Engineering strategy; architecture governance; department portfolio; capacity allocation; manager coaching; delivery health; technology-risk escalation; executive reporting.</w:t>
            </w:r>
          </w:p>
        </w:tc>
        <w:tc>
          <w:tcPr>
            <w:tcW w:type="dxa" w:w="1507"/>
            <w:vAlign w:val="top"/>
          </w:tcPr>
          <w:p>
            <w:pPr>
              <w:spacing w:after="0" w:line="182" w:lineRule="auto"/>
            </w:pPr>
            <w:r>
              <w:rPr>
                <w:sz w:val="11"/>
              </w:rPr>
              <w:t>Engineering Management; QA Management; Cloud Operations Management; architecture and delivery governance.</w:t>
            </w:r>
          </w:p>
        </w:tc>
        <w:tc>
          <w:tcPr>
            <w:tcW w:type="dxa" w:w="1507"/>
            <w:vAlign w:val="top"/>
          </w:tcPr>
          <w:p>
            <w:pPr>
              <w:spacing w:after="0" w:line="182" w:lineRule="auto"/>
            </w:pPr>
            <w:r>
              <w:rPr>
                <w:sz w:val="11"/>
              </w:rPr>
              <w:t>Coach managers; succession planning; leadership calibration; organizational design proposals; cross-team conflict resolution; department health and retention oversight.</w:t>
            </w:r>
          </w:p>
        </w:tc>
        <w:tc>
          <w:tcPr>
            <w:tcW w:type="dxa" w:w="1507"/>
            <w:vAlign w:val="top"/>
          </w:tcPr>
          <w:p>
            <w:pPr>
              <w:spacing w:after="0" w:line="182" w:lineRule="auto"/>
            </w:pPr>
            <w:r>
              <w:rPr>
                <w:sz w:val="11"/>
              </w:rPr>
              <w:t>Enterprise architecture; cloud/platform engineering; API ecosystems; reliability; software delivery; secure engineering; technical governance.</w:t>
            </w:r>
          </w:p>
        </w:tc>
        <w:tc>
          <w:tcPr>
            <w:tcW w:type="dxa" w:w="1507"/>
            <w:vAlign w:val="top"/>
          </w:tcPr>
          <w:p>
            <w:pPr>
              <w:spacing w:after="0" w:line="182" w:lineRule="auto"/>
            </w:pPr>
            <w:r>
              <w:rPr>
                <w:sz w:val="11"/>
              </w:rPr>
              <w:t>Portfolio prioritization; organizational design; capacity planning; executive communication; technology strategy; risk governance; investment trade-offs.</w:t>
            </w:r>
          </w:p>
        </w:tc>
        <w:tc>
          <w:tcPr>
            <w:tcW w:type="dxa" w:w="1507"/>
            <w:vAlign w:val="top"/>
          </w:tcPr>
          <w:p>
            <w:pPr>
              <w:spacing w:after="0" w:line="182" w:lineRule="auto"/>
            </w:pPr>
            <w:r>
              <w:rPr>
                <w:sz w:val="11"/>
              </w:rPr>
              <w:t>Established architecture governance; improved manager operating cadence; reduced delivery-risk surprises; led engineering modernization and leadership development.</w:t>
            </w:r>
          </w:p>
        </w:tc>
        <w:tc>
          <w:tcPr>
            <w:tcW w:type="dxa" w:w="1507"/>
            <w:vAlign w:val="top"/>
          </w:tcPr>
          <w:p>
            <w:pPr>
              <w:spacing w:after="0" w:line="182" w:lineRule="auto"/>
            </w:pPr>
            <w:r>
              <w:rPr>
                <w:sz w:val="11"/>
              </w:rPr>
              <w:t>Improve platform reliability; strengthen succession pipeline; reduce architecture fragmentation; improve engineering capacity forecasting.</w:t>
            </w:r>
          </w:p>
        </w:tc>
      </w:tr>
      <w:tr>
        <w:tc>
          <w:tcPr>
            <w:tcW w:type="dxa" w:w="1507"/>
            <w:vAlign w:val="top"/>
          </w:tcPr>
          <w:p>
            <w:pPr>
              <w:spacing w:after="0" w:line="182" w:lineRule="auto"/>
            </w:pPr>
            <w:r>
              <w:rPr>
                <w:sz w:val="11"/>
              </w:rPr>
              <w:t>EMP-3002</w:t>
            </w:r>
          </w:p>
        </w:tc>
        <w:tc>
          <w:tcPr>
            <w:tcW w:type="dxa" w:w="1507"/>
            <w:vAlign w:val="top"/>
          </w:tcPr>
          <w:p>
            <w:pPr>
              <w:spacing w:after="0" w:line="182" w:lineRule="auto"/>
            </w:pPr>
            <w:r>
              <w:rPr>
                <w:sz w:val="11"/>
              </w:rPr>
              <w:t>Karan Bhatia</w:t>
            </w:r>
          </w:p>
        </w:tc>
        <w:tc>
          <w:tcPr>
            <w:tcW w:type="dxa" w:w="1507"/>
            <w:vAlign w:val="top"/>
          </w:tcPr>
          <w:p>
            <w:pPr>
              <w:spacing w:after="0" w:line="182" w:lineRule="auto"/>
            </w:pPr>
            <w:r>
              <w:rPr>
                <w:sz w:val="11"/>
              </w:rPr>
              <w:t>Director responsible for product strategy, design/analytics alignment, portfolio outcomes, customer-experience programs and leadership of product/analytics managers.</w:t>
            </w:r>
          </w:p>
        </w:tc>
        <w:tc>
          <w:tcPr>
            <w:tcW w:type="dxa" w:w="1507"/>
            <w:vAlign w:val="top"/>
          </w:tcPr>
          <w:p>
            <w:pPr>
              <w:spacing w:after="0" w:line="182" w:lineRule="auto"/>
            </w:pPr>
            <w:r>
              <w:rPr>
                <w:sz w:val="11"/>
              </w:rPr>
              <w:t>Business Analyst -&gt; Product Manager -&gt; Senior Product Manager -&gt; Group Product Manager -&gt; Director of Product &amp; Analytics.</w:t>
            </w:r>
          </w:p>
        </w:tc>
        <w:tc>
          <w:tcPr>
            <w:tcW w:type="dxa" w:w="1507"/>
            <w:vAlign w:val="top"/>
          </w:tcPr>
          <w:p>
            <w:pPr>
              <w:spacing w:after="0" w:line="182" w:lineRule="auto"/>
            </w:pPr>
            <w:r>
              <w:rPr>
                <w:sz w:val="11"/>
              </w:rPr>
              <w:t>MarketDemo Labs - Analyst; ProductForge Demo - Product Manager; IntentLock Demo Company - Group PM/Director.</w:t>
            </w:r>
          </w:p>
        </w:tc>
        <w:tc>
          <w:tcPr>
            <w:tcW w:type="dxa" w:w="1507"/>
            <w:vAlign w:val="top"/>
          </w:tcPr>
          <w:p>
            <w:pPr>
              <w:spacing w:after="0" w:line="182" w:lineRule="auto"/>
            </w:pPr>
            <w:r>
              <w:rPr>
                <w:sz w:val="11"/>
              </w:rPr>
              <w:t>Market research, requirements, roadmap ownership, product analytics, launch management, portfolio planning and manager coaching.</w:t>
            </w:r>
          </w:p>
        </w:tc>
        <w:tc>
          <w:tcPr>
            <w:tcW w:type="dxa" w:w="1507"/>
            <w:vAlign w:val="top"/>
          </w:tcPr>
          <w:p>
            <w:pPr>
              <w:spacing w:after="0" w:line="182" w:lineRule="auto"/>
            </w:pPr>
            <w:r>
              <w:rPr>
                <w:sz w:val="11"/>
              </w:rPr>
              <w:t>Promoted after successfully integrating product, design and analytics planning and establishing measurable portfolio governance.</w:t>
            </w:r>
          </w:p>
        </w:tc>
        <w:tc>
          <w:tcPr>
            <w:tcW w:type="dxa" w:w="1507"/>
            <w:vAlign w:val="top"/>
          </w:tcPr>
          <w:p>
            <w:pPr>
              <w:spacing w:after="0" w:line="182" w:lineRule="auto"/>
            </w:pPr>
            <w:r>
              <w:rPr>
                <w:sz w:val="11"/>
              </w:rPr>
              <w:t>Digital Onboarding; Subscription Modernization; Customer Insights Platform; Product Metrics Standardization.</w:t>
            </w:r>
          </w:p>
        </w:tc>
        <w:tc>
          <w:tcPr>
            <w:tcW w:type="dxa" w:w="1507"/>
            <w:vAlign w:val="top"/>
          </w:tcPr>
          <w:p>
            <w:pPr>
              <w:spacing w:after="0" w:line="182" w:lineRule="auto"/>
            </w:pPr>
            <w:r>
              <w:rPr>
                <w:sz w:val="11"/>
              </w:rPr>
              <w:t>Product portfolio strategy; outcome metrics; investment prioritization; design/analytics alignment; manager coaching; executive product reporting.</w:t>
            </w:r>
          </w:p>
        </w:tc>
        <w:tc>
          <w:tcPr>
            <w:tcW w:type="dxa" w:w="1507"/>
            <w:vAlign w:val="top"/>
          </w:tcPr>
          <w:p>
            <w:pPr>
              <w:spacing w:after="0" w:line="182" w:lineRule="auto"/>
            </w:pPr>
            <w:r>
              <w:rPr>
                <w:sz w:val="11"/>
              </w:rPr>
              <w:t>Product Management; Product Design; Data &amp; Analytics; customer-experience program governance.</w:t>
            </w:r>
          </w:p>
        </w:tc>
        <w:tc>
          <w:tcPr>
            <w:tcW w:type="dxa" w:w="1507"/>
            <w:vAlign w:val="top"/>
          </w:tcPr>
          <w:p>
            <w:pPr>
              <w:spacing w:after="0" w:line="182" w:lineRule="auto"/>
            </w:pPr>
            <w:r>
              <w:rPr>
                <w:sz w:val="11"/>
              </w:rPr>
              <w:t>Coach managers; succession planning; portfolio conflict resolution; organization capability development; cross-functional executive alignment.</w:t>
            </w:r>
          </w:p>
        </w:tc>
        <w:tc>
          <w:tcPr>
            <w:tcW w:type="dxa" w:w="1507"/>
            <w:vAlign w:val="top"/>
          </w:tcPr>
          <w:p>
            <w:pPr>
              <w:spacing w:after="0" w:line="182" w:lineRule="auto"/>
            </w:pPr>
            <w:r>
              <w:rPr>
                <w:sz w:val="11"/>
              </w:rPr>
              <w:t>Product strategy; analytics; experimentation; UX governance; customer research; roadmap planning; business metrics.</w:t>
            </w:r>
          </w:p>
        </w:tc>
        <w:tc>
          <w:tcPr>
            <w:tcW w:type="dxa" w:w="1507"/>
            <w:vAlign w:val="top"/>
          </w:tcPr>
          <w:p>
            <w:pPr>
              <w:spacing w:after="0" w:line="182" w:lineRule="auto"/>
            </w:pPr>
            <w:r>
              <w:rPr>
                <w:sz w:val="11"/>
              </w:rPr>
              <w:t>Portfolio management; investment prioritization; executive storytelling; market/customer analysis; organizational leadership.</w:t>
            </w:r>
          </w:p>
        </w:tc>
        <w:tc>
          <w:tcPr>
            <w:tcW w:type="dxa" w:w="1507"/>
            <w:vAlign w:val="top"/>
          </w:tcPr>
          <w:p>
            <w:pPr>
              <w:spacing w:after="0" w:line="182" w:lineRule="auto"/>
            </w:pPr>
            <w:r>
              <w:rPr>
                <w:sz w:val="11"/>
              </w:rPr>
              <w:t>Unified product/design/analytics planning; introduced outcome-based reviews; improved portfolio decision documentation; reduced roadmap churn.</w:t>
            </w:r>
          </w:p>
        </w:tc>
        <w:tc>
          <w:tcPr>
            <w:tcW w:type="dxa" w:w="1507"/>
            <w:vAlign w:val="top"/>
          </w:tcPr>
          <w:p>
            <w:pPr>
              <w:spacing w:after="0" w:line="182" w:lineRule="auto"/>
            </w:pPr>
            <w:r>
              <w:rPr>
                <w:sz w:val="11"/>
              </w:rPr>
              <w:t>Improve product outcome measurement; strengthen customer insight governance; develop managers; optimize portfolio investment.</w:t>
            </w:r>
          </w:p>
        </w:tc>
      </w:tr>
      <w:tr>
        <w:tc>
          <w:tcPr>
            <w:tcW w:type="dxa" w:w="1507"/>
            <w:vAlign w:val="top"/>
          </w:tcPr>
          <w:p>
            <w:pPr>
              <w:spacing w:after="0" w:line="182" w:lineRule="auto"/>
            </w:pPr>
            <w:r>
              <w:rPr>
                <w:sz w:val="11"/>
              </w:rPr>
              <w:t>EMP-3003</w:t>
            </w:r>
          </w:p>
        </w:tc>
        <w:tc>
          <w:tcPr>
            <w:tcW w:type="dxa" w:w="1507"/>
            <w:vAlign w:val="top"/>
          </w:tcPr>
          <w:p>
            <w:pPr>
              <w:spacing w:after="0" w:line="182" w:lineRule="auto"/>
            </w:pPr>
            <w:r>
              <w:rPr>
                <w:sz w:val="11"/>
              </w:rPr>
              <w:t>Nisha Gupta</w:t>
            </w:r>
          </w:p>
        </w:tc>
        <w:tc>
          <w:tcPr>
            <w:tcW w:type="dxa" w:w="1507"/>
            <w:vAlign w:val="top"/>
          </w:tcPr>
          <w:p>
            <w:pPr>
              <w:spacing w:after="0" w:line="182" w:lineRule="auto"/>
            </w:pPr>
            <w:r>
              <w:rPr>
                <w:sz w:val="11"/>
              </w:rPr>
              <w:t>Senior HR leader responsible for workforce governance, talent systems, employee lifecycle controls and HR policy execution while preserving separation between business authority and immutable security controls.</w:t>
            </w:r>
          </w:p>
        </w:tc>
        <w:tc>
          <w:tcPr>
            <w:tcW w:type="dxa" w:w="1507"/>
            <w:vAlign w:val="top"/>
          </w:tcPr>
          <w:p>
            <w:pPr>
              <w:spacing w:after="0" w:line="182" w:lineRule="auto"/>
            </w:pPr>
            <w:r>
              <w:rPr>
                <w:sz w:val="11"/>
              </w:rPr>
              <w:t>HR Generalist -&gt; HR Business Partner -&gt; HR Manager -&gt; Senior HR Manager -&gt; Director of Human Resources.</w:t>
            </w:r>
          </w:p>
        </w:tc>
        <w:tc>
          <w:tcPr>
            <w:tcW w:type="dxa" w:w="1507"/>
            <w:vAlign w:val="top"/>
          </w:tcPr>
          <w:p>
            <w:pPr>
              <w:spacing w:after="0" w:line="182" w:lineRule="auto"/>
            </w:pPr>
            <w:r>
              <w:rPr>
                <w:sz w:val="11"/>
              </w:rPr>
              <w:t>PeopleDemo Services - HR Generalist; TalentWorks Demo - HRBP/Manager; IntentLock Demo Company - Senior HR Manager/Director.</w:t>
            </w:r>
          </w:p>
        </w:tc>
        <w:tc>
          <w:tcPr>
            <w:tcW w:type="dxa" w:w="1507"/>
            <w:vAlign w:val="top"/>
          </w:tcPr>
          <w:p>
            <w:pPr>
              <w:spacing w:after="0" w:line="182" w:lineRule="auto"/>
            </w:pPr>
            <w:r>
              <w:rPr>
                <w:sz w:val="11"/>
              </w:rPr>
              <w:t>Employee relations, recruitment, performance cycles, policy administration, learning programs, workforce planning and HR operations.</w:t>
            </w:r>
          </w:p>
        </w:tc>
        <w:tc>
          <w:tcPr>
            <w:tcW w:type="dxa" w:w="1507"/>
            <w:vAlign w:val="top"/>
          </w:tcPr>
          <w:p>
            <w:pPr>
              <w:spacing w:after="0" w:line="182" w:lineRule="auto"/>
            </w:pPr>
            <w:r>
              <w:rPr>
                <w:sz w:val="11"/>
              </w:rPr>
              <w:t>Promoted to Director after modernizing HR workflows, improving workforce planning and establishing stronger approval/audit controls.</w:t>
            </w:r>
          </w:p>
        </w:tc>
        <w:tc>
          <w:tcPr>
            <w:tcW w:type="dxa" w:w="1507"/>
            <w:vAlign w:val="top"/>
          </w:tcPr>
          <w:p>
            <w:pPr>
              <w:spacing w:after="0" w:line="182" w:lineRule="auto"/>
            </w:pPr>
            <w:r>
              <w:rPr>
                <w:sz w:val="11"/>
              </w:rPr>
              <w:t>Performance Framework Redesign; Workforce Planning; Manager Capability Program; Employee Experience Modernization.</w:t>
            </w:r>
          </w:p>
        </w:tc>
        <w:tc>
          <w:tcPr>
            <w:tcW w:type="dxa" w:w="1507"/>
            <w:vAlign w:val="top"/>
          </w:tcPr>
          <w:p>
            <w:pPr>
              <w:spacing w:after="0" w:line="182" w:lineRule="auto"/>
            </w:pPr>
            <w:r>
              <w:rPr>
                <w:sz w:val="11"/>
              </w:rPr>
              <w:t>HR governance; workforce planning; talent strategy; manager policy guidance; promotion/transfer process; sensitive-case escalation; executive workforce reporting.</w:t>
            </w:r>
          </w:p>
        </w:tc>
        <w:tc>
          <w:tcPr>
            <w:tcW w:type="dxa" w:w="1507"/>
            <w:vAlign w:val="top"/>
          </w:tcPr>
          <w:p>
            <w:pPr>
              <w:spacing w:after="0" w:line="182" w:lineRule="auto"/>
            </w:pPr>
            <w:r>
              <w:rPr>
                <w:sz w:val="11"/>
              </w:rPr>
              <w:t>HR Operations; Talent Acquisition; Learning &amp; Development; employee lifecycle governance.</w:t>
            </w:r>
          </w:p>
        </w:tc>
        <w:tc>
          <w:tcPr>
            <w:tcW w:type="dxa" w:w="1507"/>
            <w:vAlign w:val="top"/>
          </w:tcPr>
          <w:p>
            <w:pPr>
              <w:spacing w:after="0" w:line="182" w:lineRule="auto"/>
            </w:pPr>
            <w:r>
              <w:rPr>
                <w:sz w:val="11"/>
              </w:rPr>
              <w:t>Coach HR managers; succession/talent planning; policy interpretation; sensitive employee-case oversight; leadership capability programs.</w:t>
            </w:r>
          </w:p>
        </w:tc>
        <w:tc>
          <w:tcPr>
            <w:tcW w:type="dxa" w:w="1507"/>
            <w:vAlign w:val="top"/>
          </w:tcPr>
          <w:p>
            <w:pPr>
              <w:spacing w:after="0" w:line="182" w:lineRule="auto"/>
            </w:pPr>
            <w:r>
              <w:rPr>
                <w:sz w:val="11"/>
              </w:rPr>
              <w:t>HR operations; workforce analytics; talent management; employee relations; performance management; policy governance.</w:t>
            </w:r>
          </w:p>
        </w:tc>
        <w:tc>
          <w:tcPr>
            <w:tcW w:type="dxa" w:w="1507"/>
            <w:vAlign w:val="top"/>
          </w:tcPr>
          <w:p>
            <w:pPr>
              <w:spacing w:after="0" w:line="182" w:lineRule="auto"/>
            </w:pPr>
            <w:r>
              <w:rPr>
                <w:sz w:val="11"/>
              </w:rPr>
              <w:t>Workforce planning; organizational design; executive advising; change management; people-risk management.</w:t>
            </w:r>
          </w:p>
        </w:tc>
        <w:tc>
          <w:tcPr>
            <w:tcW w:type="dxa" w:w="1507"/>
            <w:vAlign w:val="top"/>
          </w:tcPr>
          <w:p>
            <w:pPr>
              <w:spacing w:after="0" w:line="182" w:lineRule="auto"/>
            </w:pPr>
            <w:r>
              <w:rPr>
                <w:sz w:val="11"/>
              </w:rPr>
              <w:t>Improved workforce planning; formalized promotion evidence; strengthened sensitive-case access controls; modernized manager training.</w:t>
            </w:r>
          </w:p>
        </w:tc>
        <w:tc>
          <w:tcPr>
            <w:tcW w:type="dxa" w:w="1507"/>
            <w:vAlign w:val="top"/>
          </w:tcPr>
          <w:p>
            <w:pPr>
              <w:spacing w:after="0" w:line="182" w:lineRule="auto"/>
            </w:pPr>
            <w:r>
              <w:rPr>
                <w:sz w:val="11"/>
              </w:rPr>
              <w:t>Improve workforce analytics; strengthen succession planning; reduce HR workflow delays; maintain auditable protected decisions.</w:t>
            </w:r>
          </w:p>
        </w:tc>
      </w:tr>
      <w:tr>
        <w:tc>
          <w:tcPr>
            <w:tcW w:type="dxa" w:w="1507"/>
            <w:vAlign w:val="top"/>
          </w:tcPr>
          <w:p>
            <w:pPr>
              <w:spacing w:after="0" w:line="182" w:lineRule="auto"/>
            </w:pPr>
            <w:r>
              <w:rPr>
                <w:sz w:val="11"/>
              </w:rPr>
              <w:t>EMP-3004</w:t>
            </w:r>
          </w:p>
        </w:tc>
        <w:tc>
          <w:tcPr>
            <w:tcW w:type="dxa" w:w="1507"/>
            <w:vAlign w:val="top"/>
          </w:tcPr>
          <w:p>
            <w:pPr>
              <w:spacing w:after="0" w:line="182" w:lineRule="auto"/>
            </w:pPr>
            <w:r>
              <w:rPr>
                <w:sz w:val="11"/>
              </w:rPr>
              <w:t>Sameer Kulkarni</w:t>
            </w:r>
          </w:p>
        </w:tc>
        <w:tc>
          <w:tcPr>
            <w:tcW w:type="dxa" w:w="1507"/>
            <w:vAlign w:val="top"/>
          </w:tcPr>
          <w:p>
            <w:pPr>
              <w:spacing w:after="0" w:line="182" w:lineRule="auto"/>
            </w:pPr>
            <w:r>
              <w:rPr>
                <w:sz w:val="11"/>
              </w:rPr>
              <w:t>Operations director responsible for enterprise service delivery, process governance, operational performance, cross-functional programs and manager leadership.</w:t>
            </w:r>
          </w:p>
        </w:tc>
        <w:tc>
          <w:tcPr>
            <w:tcW w:type="dxa" w:w="1507"/>
            <w:vAlign w:val="top"/>
          </w:tcPr>
          <w:p>
            <w:pPr>
              <w:spacing w:after="0" w:line="182" w:lineRule="auto"/>
            </w:pPr>
            <w:r>
              <w:rPr>
                <w:sz w:val="11"/>
              </w:rPr>
              <w:t>Operations Analyst -&gt; Operations Manager -&gt; Senior Operations Manager -&gt; Program Director -&gt; Director of Operations.</w:t>
            </w:r>
          </w:p>
        </w:tc>
        <w:tc>
          <w:tcPr>
            <w:tcW w:type="dxa" w:w="1507"/>
            <w:vAlign w:val="top"/>
          </w:tcPr>
          <w:p>
            <w:pPr>
              <w:spacing w:after="0" w:line="182" w:lineRule="auto"/>
            </w:pPr>
            <w:r>
              <w:rPr>
                <w:sz w:val="11"/>
              </w:rPr>
              <w:t>OpsDemo Services - Analyst/Manager; ProcessWorks Demo - Senior Manager; IntentLock Demo Company - Program Director/Director.</w:t>
            </w:r>
          </w:p>
        </w:tc>
        <w:tc>
          <w:tcPr>
            <w:tcW w:type="dxa" w:w="1507"/>
            <w:vAlign w:val="top"/>
          </w:tcPr>
          <w:p>
            <w:pPr>
              <w:spacing w:after="0" w:line="182" w:lineRule="auto"/>
            </w:pPr>
            <w:r>
              <w:rPr>
                <w:sz w:val="11"/>
              </w:rPr>
              <w:t>Operational reporting, process improvement, service delivery, vendor coordination, program management and multi-team operations.</w:t>
            </w:r>
          </w:p>
        </w:tc>
        <w:tc>
          <w:tcPr>
            <w:tcW w:type="dxa" w:w="1507"/>
            <w:vAlign w:val="top"/>
          </w:tcPr>
          <w:p>
            <w:pPr>
              <w:spacing w:after="0" w:line="182" w:lineRule="auto"/>
            </w:pPr>
            <w:r>
              <w:rPr>
                <w:sz w:val="11"/>
              </w:rPr>
              <w:t>Promoted after leading operational transformation, service governance and cross-functional process automation.</w:t>
            </w:r>
          </w:p>
        </w:tc>
        <w:tc>
          <w:tcPr>
            <w:tcW w:type="dxa" w:w="1507"/>
            <w:vAlign w:val="top"/>
          </w:tcPr>
          <w:p>
            <w:pPr>
              <w:spacing w:after="0" w:line="182" w:lineRule="auto"/>
            </w:pPr>
            <w:r>
              <w:rPr>
                <w:sz w:val="11"/>
              </w:rPr>
              <w:t>Service Delivery Redesign; Operations Automation; Vendor Governance; Business Continuity Improvement.</w:t>
            </w:r>
          </w:p>
        </w:tc>
        <w:tc>
          <w:tcPr>
            <w:tcW w:type="dxa" w:w="1507"/>
            <w:vAlign w:val="top"/>
          </w:tcPr>
          <w:p>
            <w:pPr>
              <w:spacing w:after="0" w:line="182" w:lineRule="auto"/>
            </w:pPr>
            <w:r>
              <w:rPr>
                <w:sz w:val="11"/>
              </w:rPr>
              <w:t>Operational portfolio; service KPIs; process governance; manager coaching; cross-department program coordination; operational risk reporting.</w:t>
            </w:r>
          </w:p>
        </w:tc>
        <w:tc>
          <w:tcPr>
            <w:tcW w:type="dxa" w:w="1507"/>
            <w:vAlign w:val="top"/>
          </w:tcPr>
          <w:p>
            <w:pPr>
              <w:spacing w:after="0" w:line="182" w:lineRule="auto"/>
            </w:pPr>
            <w:r>
              <w:rPr>
                <w:sz w:val="11"/>
              </w:rPr>
              <w:t>Operations Management; Program Management; Service Delivery; process-improvement functions.</w:t>
            </w:r>
          </w:p>
        </w:tc>
        <w:tc>
          <w:tcPr>
            <w:tcW w:type="dxa" w:w="1507"/>
            <w:vAlign w:val="top"/>
          </w:tcPr>
          <w:p>
            <w:pPr>
              <w:spacing w:after="0" w:line="182" w:lineRule="auto"/>
            </w:pPr>
            <w:r>
              <w:rPr>
                <w:sz w:val="11"/>
              </w:rPr>
              <w:t>Coach managers; resolve cross-functional blockers; succession planning; capacity reviews; service performance governance.</w:t>
            </w:r>
          </w:p>
        </w:tc>
        <w:tc>
          <w:tcPr>
            <w:tcW w:type="dxa" w:w="1507"/>
            <w:vAlign w:val="top"/>
          </w:tcPr>
          <w:p>
            <w:pPr>
              <w:spacing w:after="0" w:line="182" w:lineRule="auto"/>
            </w:pPr>
            <w:r>
              <w:rPr>
                <w:sz w:val="11"/>
              </w:rPr>
              <w:t>Operations management; process design; service delivery; automation governance; KPI management; business continuity.</w:t>
            </w:r>
          </w:p>
        </w:tc>
        <w:tc>
          <w:tcPr>
            <w:tcW w:type="dxa" w:w="1507"/>
            <w:vAlign w:val="top"/>
          </w:tcPr>
          <w:p>
            <w:pPr>
              <w:spacing w:after="0" w:line="182" w:lineRule="auto"/>
            </w:pPr>
            <w:r>
              <w:rPr>
                <w:sz w:val="11"/>
              </w:rPr>
              <w:t>Operational strategy; process transformation; portfolio management; executive communication; resource planning; vendor governance.</w:t>
            </w:r>
          </w:p>
        </w:tc>
        <w:tc>
          <w:tcPr>
            <w:tcW w:type="dxa" w:w="1507"/>
            <w:vAlign w:val="top"/>
          </w:tcPr>
          <w:p>
            <w:pPr>
              <w:spacing w:after="0" w:line="182" w:lineRule="auto"/>
            </w:pPr>
            <w:r>
              <w:rPr>
                <w:sz w:val="11"/>
              </w:rPr>
              <w:t>Improved service KPIs; reduced manual operational workflows; strengthened vendor governance; standardized operational reviews.</w:t>
            </w:r>
          </w:p>
        </w:tc>
        <w:tc>
          <w:tcPr>
            <w:tcW w:type="dxa" w:w="1507"/>
            <w:vAlign w:val="top"/>
          </w:tcPr>
          <w:p>
            <w:pPr>
              <w:spacing w:after="0" w:line="182" w:lineRule="auto"/>
            </w:pPr>
            <w:r>
              <w:rPr>
                <w:sz w:val="11"/>
              </w:rPr>
              <w:t>Increase process automation; improve continuity readiness; develop operations managers; reduce service variance.</w:t>
            </w:r>
          </w:p>
        </w:tc>
      </w:tr>
      <w:tr>
        <w:tc>
          <w:tcPr>
            <w:tcW w:type="dxa" w:w="1507"/>
            <w:vAlign w:val="top"/>
          </w:tcPr>
          <w:p>
            <w:pPr>
              <w:spacing w:after="0" w:line="182" w:lineRule="auto"/>
            </w:pPr>
            <w:r>
              <w:rPr>
                <w:sz w:val="11"/>
              </w:rPr>
              <w:t>EMP-3005</w:t>
            </w:r>
          </w:p>
        </w:tc>
        <w:tc>
          <w:tcPr>
            <w:tcW w:type="dxa" w:w="1507"/>
            <w:vAlign w:val="top"/>
          </w:tcPr>
          <w:p>
            <w:pPr>
              <w:spacing w:after="0" w:line="182" w:lineRule="auto"/>
            </w:pPr>
            <w:r>
              <w:rPr>
                <w:sz w:val="11"/>
              </w:rPr>
              <w:t>Maya Krishnan</w:t>
            </w:r>
          </w:p>
        </w:tc>
        <w:tc>
          <w:tcPr>
            <w:tcW w:type="dxa" w:w="1507"/>
            <w:vAlign w:val="top"/>
          </w:tcPr>
          <w:p>
            <w:pPr>
              <w:spacing w:after="0" w:line="182" w:lineRule="auto"/>
            </w:pPr>
            <w:r>
              <w:rPr>
                <w:sz w:val="11"/>
              </w:rPr>
              <w:t>Information Security director responsible for security governance, identity and access oversight, risk assurance, incident readiness and security leadership, while remaining subject to immutable controls and separation of duties.</w:t>
            </w:r>
          </w:p>
        </w:tc>
        <w:tc>
          <w:tcPr>
            <w:tcW w:type="dxa" w:w="1507"/>
            <w:vAlign w:val="top"/>
          </w:tcPr>
          <w:p>
            <w:pPr>
              <w:spacing w:after="0" w:line="182" w:lineRule="auto"/>
            </w:pPr>
            <w:r>
              <w:rPr>
                <w:sz w:val="11"/>
              </w:rPr>
              <w:t>Security Analyst -&gt; Security Engineer -&gt; Security Manager -&gt; Senior Security Manager -&gt; Director of Information Security.</w:t>
            </w:r>
          </w:p>
        </w:tc>
        <w:tc>
          <w:tcPr>
            <w:tcW w:type="dxa" w:w="1507"/>
            <w:vAlign w:val="top"/>
          </w:tcPr>
          <w:p>
            <w:pPr>
              <w:spacing w:after="0" w:line="182" w:lineRule="auto"/>
            </w:pPr>
            <w:r>
              <w:rPr>
                <w:sz w:val="11"/>
              </w:rPr>
              <w:t>SecureDemo Labs - Analyst; CyberWorks Demo - Engineer/Manager; IntentLock Demo Company - Senior Security Manager/Director.</w:t>
            </w:r>
          </w:p>
        </w:tc>
        <w:tc>
          <w:tcPr>
            <w:tcW w:type="dxa" w:w="1507"/>
            <w:vAlign w:val="top"/>
          </w:tcPr>
          <w:p>
            <w:pPr>
              <w:spacing w:after="0" w:line="182" w:lineRule="auto"/>
            </w:pPr>
            <w:r>
              <w:rPr>
                <w:sz w:val="11"/>
              </w:rPr>
              <w:t>Security monitoring, IAM, vulnerability management, incident response, policy development, security reviews and team leadership.</w:t>
            </w:r>
          </w:p>
        </w:tc>
        <w:tc>
          <w:tcPr>
            <w:tcW w:type="dxa" w:w="1507"/>
            <w:vAlign w:val="top"/>
          </w:tcPr>
          <w:p>
            <w:pPr>
              <w:spacing w:after="0" w:line="182" w:lineRule="auto"/>
            </w:pPr>
            <w:r>
              <w:rPr>
                <w:sz w:val="11"/>
              </w:rPr>
              <w:t>Promoted after leading identity-security modernization, incident-readiness improvements and governance standardization.</w:t>
            </w:r>
          </w:p>
        </w:tc>
        <w:tc>
          <w:tcPr>
            <w:tcW w:type="dxa" w:w="1507"/>
            <w:vAlign w:val="top"/>
          </w:tcPr>
          <w:p>
            <w:pPr>
              <w:spacing w:after="0" w:line="182" w:lineRule="auto"/>
            </w:pPr>
            <w:r>
              <w:rPr>
                <w:sz w:val="11"/>
              </w:rPr>
              <w:t>IAM Modernization; Security Monitoring Upgrade; Vulnerability Governance; Incident Response Maturity; Zero-Trust Pilot.</w:t>
            </w:r>
          </w:p>
        </w:tc>
        <w:tc>
          <w:tcPr>
            <w:tcW w:type="dxa" w:w="1507"/>
            <w:vAlign w:val="top"/>
          </w:tcPr>
          <w:p>
            <w:pPr>
              <w:spacing w:after="0" w:line="182" w:lineRule="auto"/>
            </w:pPr>
            <w:r>
              <w:rPr>
                <w:sz w:val="11"/>
              </w:rPr>
              <w:t>Security strategy; IAM governance; risk reporting; incident readiness; security manager coaching; assurance reviews; agent-security governance.</w:t>
            </w:r>
          </w:p>
        </w:tc>
        <w:tc>
          <w:tcPr>
            <w:tcW w:type="dxa" w:w="1507"/>
            <w:vAlign w:val="top"/>
          </w:tcPr>
          <w:p>
            <w:pPr>
              <w:spacing w:after="0" w:line="182" w:lineRule="auto"/>
            </w:pPr>
            <w:r>
              <w:rPr>
                <w:sz w:val="11"/>
              </w:rPr>
              <w:t>Security Engineering; Governance/Risk/Compliance; Security Operations; identity-security review.</w:t>
            </w:r>
          </w:p>
        </w:tc>
        <w:tc>
          <w:tcPr>
            <w:tcW w:type="dxa" w:w="1507"/>
            <w:vAlign w:val="top"/>
          </w:tcPr>
          <w:p>
            <w:pPr>
              <w:spacing w:after="0" w:line="182" w:lineRule="auto"/>
            </w:pPr>
            <w:r>
              <w:rPr>
                <w:sz w:val="11"/>
              </w:rPr>
              <w:t>Coach security leaders; security workforce planning; escalation decisions; incident leadership; executive risk communication; succession planning.</w:t>
            </w:r>
          </w:p>
        </w:tc>
        <w:tc>
          <w:tcPr>
            <w:tcW w:type="dxa" w:w="1507"/>
            <w:vAlign w:val="top"/>
          </w:tcPr>
          <w:p>
            <w:pPr>
              <w:spacing w:after="0" w:line="182" w:lineRule="auto"/>
            </w:pPr>
            <w:r>
              <w:rPr>
                <w:sz w:val="11"/>
              </w:rPr>
              <w:t>IAM; security architecture; incident response; threat/risk management; cloud security; application security; audit/assurance.</w:t>
            </w:r>
          </w:p>
        </w:tc>
        <w:tc>
          <w:tcPr>
            <w:tcW w:type="dxa" w:w="1507"/>
            <w:vAlign w:val="top"/>
          </w:tcPr>
          <w:p>
            <w:pPr>
              <w:spacing w:after="0" w:line="182" w:lineRule="auto"/>
            </w:pPr>
            <w:r>
              <w:rPr>
                <w:sz w:val="11"/>
              </w:rPr>
              <w:t>Security strategy; risk governance; executive communication; control design; crisis leadership; assurance planning.</w:t>
            </w:r>
          </w:p>
        </w:tc>
        <w:tc>
          <w:tcPr>
            <w:tcW w:type="dxa" w:w="1507"/>
            <w:vAlign w:val="top"/>
          </w:tcPr>
          <w:p>
            <w:pPr>
              <w:spacing w:after="0" w:line="182" w:lineRule="auto"/>
            </w:pPr>
            <w:r>
              <w:rPr>
                <w:sz w:val="11"/>
              </w:rPr>
              <w:t>Modernized IAM governance; strengthened incident exercises; improved audit evidence quality; introduced agent-security review standards.</w:t>
            </w:r>
          </w:p>
        </w:tc>
        <w:tc>
          <w:tcPr>
            <w:tcW w:type="dxa" w:w="1507"/>
            <w:vAlign w:val="top"/>
          </w:tcPr>
          <w:p>
            <w:pPr>
              <w:spacing w:after="0" w:line="182" w:lineRule="auto"/>
            </w:pPr>
            <w:r>
              <w:rPr>
                <w:sz w:val="11"/>
              </w:rPr>
              <w:t>Improve privileged-access governance; strengthen agent identity; mature incident readiness; reduce high-risk standing access.</w:t>
            </w:r>
          </w:p>
        </w:tc>
      </w:tr>
    </w:tbl>
    <w:p>
      <w:r>
        <w:br w:type="page"/>
      </w:r>
    </w:p>
    <w:p>
      <w:pPr>
        <w:pStyle w:val="Heading1"/>
      </w:pPr>
      <w:r>
        <w:t>Table 3 - Director Authority: Budget, Headcount, Hiring, People Decisions and Governance</w:t>
      </w:r>
    </w:p>
    <w:tbl>
      <w:tblPr>
        <w:tblStyle w:val="TableGrid"/>
        <w:tblW w:type="auto" w:w="0"/>
        <w:jc w:val="center"/>
        <w:tblLook w:firstColumn="1" w:firstRow="1" w:lastColumn="0" w:lastRow="0" w:noHBand="0" w:noVBand="1" w:val="04A0"/>
      </w:tblPr>
      <w:tblGrid>
        <w:gridCol w:w="1615"/>
        <w:gridCol w:w="1615"/>
        <w:gridCol w:w="1615"/>
        <w:gridCol w:w="1615"/>
        <w:gridCol w:w="1615"/>
        <w:gridCol w:w="1615"/>
        <w:gridCol w:w="1615"/>
        <w:gridCol w:w="1615"/>
        <w:gridCol w:w="1615"/>
        <w:gridCol w:w="1615"/>
        <w:gridCol w:w="1615"/>
        <w:gridCol w:w="1615"/>
        <w:gridCol w:w="1615"/>
        <w:gridCol w:w="1615"/>
      </w:tblGrid>
      <w:tr>
        <w:trPr>
          <w:tblHeader w:val="true"/>
        </w:trPr>
        <w:tc>
          <w:tcPr>
            <w:tcW w:type="dxa" w:w="1615"/>
            <w:shd w:fill="1F4E78"/>
          </w:tcPr>
          <w:p>
            <w:r>
              <w:rPr>
                <w:b/>
                <w:color w:val="FFFFFF"/>
                <w:sz w:val="12"/>
              </w:rPr>
              <w:t>Employee ID</w:t>
            </w:r>
          </w:p>
        </w:tc>
        <w:tc>
          <w:tcPr>
            <w:tcW w:type="dxa" w:w="1615"/>
            <w:shd w:fill="1F4E78"/>
          </w:tcPr>
          <w:p>
            <w:r>
              <w:rPr>
                <w:b/>
                <w:color w:val="FFFFFF"/>
                <w:sz w:val="12"/>
              </w:rPr>
              <w:t>Full Name</w:t>
            </w:r>
          </w:p>
        </w:tc>
        <w:tc>
          <w:tcPr>
            <w:tcW w:type="dxa" w:w="1615"/>
            <w:shd w:fill="1F4E78"/>
          </w:tcPr>
          <w:p>
            <w:r>
              <w:rPr>
                <w:b/>
                <w:color w:val="FFFFFF"/>
                <w:sz w:val="12"/>
              </w:rPr>
              <w:t>Budget Responsibility</w:t>
            </w:r>
          </w:p>
        </w:tc>
        <w:tc>
          <w:tcPr>
            <w:tcW w:type="dxa" w:w="1615"/>
            <w:shd w:fill="1F4E78"/>
          </w:tcPr>
          <w:p>
            <w:r>
              <w:rPr>
                <w:b/>
                <w:color w:val="FFFFFF"/>
                <w:sz w:val="12"/>
              </w:rPr>
              <w:t>Headcount Authority</w:t>
            </w:r>
          </w:p>
        </w:tc>
        <w:tc>
          <w:tcPr>
            <w:tcW w:type="dxa" w:w="1615"/>
            <w:shd w:fill="1F4E78"/>
          </w:tcPr>
          <w:p>
            <w:r>
              <w:rPr>
                <w:b/>
                <w:color w:val="FFFFFF"/>
                <w:sz w:val="12"/>
              </w:rPr>
              <w:t>Hiring Authority</w:t>
            </w:r>
          </w:p>
        </w:tc>
        <w:tc>
          <w:tcPr>
            <w:tcW w:type="dxa" w:w="1615"/>
            <w:shd w:fill="1F4E78"/>
          </w:tcPr>
          <w:p>
            <w:r>
              <w:rPr>
                <w:b/>
                <w:color w:val="FFFFFF"/>
                <w:sz w:val="12"/>
              </w:rPr>
              <w:t>Performance Authority</w:t>
            </w:r>
          </w:p>
        </w:tc>
        <w:tc>
          <w:tcPr>
            <w:tcW w:type="dxa" w:w="1615"/>
            <w:shd w:fill="1F4E78"/>
          </w:tcPr>
          <w:p>
            <w:r>
              <w:rPr>
                <w:b/>
                <w:color w:val="FFFFFF"/>
                <w:sz w:val="12"/>
              </w:rPr>
              <w:t>Promotion Authority</w:t>
            </w:r>
          </w:p>
        </w:tc>
        <w:tc>
          <w:tcPr>
            <w:tcW w:type="dxa" w:w="1615"/>
            <w:shd w:fill="1F4E78"/>
          </w:tcPr>
          <w:p>
            <w:r>
              <w:rPr>
                <w:b/>
                <w:color w:val="FFFFFF"/>
                <w:sz w:val="12"/>
              </w:rPr>
              <w:t>Transfer Authority</w:t>
            </w:r>
          </w:p>
        </w:tc>
        <w:tc>
          <w:tcPr>
            <w:tcW w:type="dxa" w:w="1615"/>
            <w:shd w:fill="1F4E78"/>
          </w:tcPr>
          <w:p>
            <w:r>
              <w:rPr>
                <w:b/>
                <w:color w:val="FFFFFF"/>
                <w:sz w:val="12"/>
              </w:rPr>
              <w:t>Termination Authority</w:t>
            </w:r>
          </w:p>
        </w:tc>
        <w:tc>
          <w:tcPr>
            <w:tcW w:type="dxa" w:w="1615"/>
            <w:shd w:fill="1F4E78"/>
          </w:tcPr>
          <w:p>
            <w:r>
              <w:rPr>
                <w:b/>
                <w:color w:val="FFFFFF"/>
                <w:sz w:val="12"/>
              </w:rPr>
              <w:t>Project / Portfolio Authority</w:t>
            </w:r>
          </w:p>
        </w:tc>
        <w:tc>
          <w:tcPr>
            <w:tcW w:type="dxa" w:w="1615"/>
            <w:shd w:fill="1F4E78"/>
          </w:tcPr>
          <w:p>
            <w:r>
              <w:rPr>
                <w:b/>
                <w:color w:val="FFFFFF"/>
                <w:sz w:val="12"/>
              </w:rPr>
              <w:t>Department Data Visibility</w:t>
            </w:r>
          </w:p>
        </w:tc>
        <w:tc>
          <w:tcPr>
            <w:tcW w:type="dxa" w:w="1615"/>
            <w:shd w:fill="1F4E78"/>
          </w:tcPr>
          <w:p>
            <w:r>
              <w:rPr>
                <w:b/>
                <w:color w:val="FFFFFF"/>
                <w:sz w:val="12"/>
              </w:rPr>
              <w:t>Cross-Department Authority</w:t>
            </w:r>
          </w:p>
        </w:tc>
        <w:tc>
          <w:tcPr>
            <w:tcW w:type="dxa" w:w="1615"/>
            <w:shd w:fill="1F4E78"/>
          </w:tcPr>
          <w:p>
            <w:r>
              <w:rPr>
                <w:b/>
                <w:color w:val="FFFFFF"/>
                <w:sz w:val="12"/>
              </w:rPr>
              <w:t>Governance Responsibilities</w:t>
            </w:r>
          </w:p>
        </w:tc>
        <w:tc>
          <w:tcPr>
            <w:tcW w:type="dxa" w:w="1615"/>
            <w:shd w:fill="1F4E78"/>
          </w:tcPr>
          <w:p>
            <w:r>
              <w:rPr>
                <w:b/>
                <w:color w:val="FFFFFF"/>
                <w:sz w:val="12"/>
              </w:rPr>
              <w:t>Risk / Compliance Scope</w:t>
            </w:r>
          </w:p>
        </w:tc>
      </w:tr>
      <w:tr>
        <w:tc>
          <w:tcPr>
            <w:tcW w:type="dxa" w:w="1615"/>
            <w:vAlign w:val="top"/>
          </w:tcPr>
          <w:p>
            <w:pPr>
              <w:spacing w:after="0" w:line="182" w:lineRule="auto"/>
            </w:pPr>
            <w:r>
              <w:rPr>
                <w:sz w:val="12"/>
              </w:rPr>
              <w:t>EMP-3001</w:t>
            </w:r>
          </w:p>
        </w:tc>
        <w:tc>
          <w:tcPr>
            <w:tcW w:type="dxa" w:w="1615"/>
            <w:vAlign w:val="top"/>
          </w:tcPr>
          <w:p>
            <w:pPr>
              <w:spacing w:after="0" w:line="182" w:lineRule="auto"/>
            </w:pPr>
            <w:r>
              <w:rPr>
                <w:sz w:val="12"/>
              </w:rPr>
              <w:t>Vikram Malhotra</w:t>
            </w:r>
          </w:p>
        </w:tc>
        <w:tc>
          <w:tcPr>
            <w:tcW w:type="dxa" w:w="1615"/>
            <w:vAlign w:val="top"/>
          </w:tcPr>
          <w:p>
            <w:pPr>
              <w:spacing w:after="0" w:line="182" w:lineRule="auto"/>
            </w:pPr>
            <w:r>
              <w:rPr>
                <w:sz w:val="12"/>
              </w:rPr>
              <w:t>Owns/controls approved engineering operating envelope for planning purposes; can reallocate approved resources within policy; material spend changes require executive/finance approval.</w:t>
            </w:r>
          </w:p>
        </w:tc>
        <w:tc>
          <w:tcPr>
            <w:tcW w:type="dxa" w:w="1615"/>
            <w:vAlign w:val="top"/>
          </w:tcPr>
          <w:p>
            <w:pPr>
              <w:spacing w:after="0" w:line="182" w:lineRule="auto"/>
            </w:pPr>
            <w:r>
              <w:rPr>
                <w:sz w:val="12"/>
              </w:rPr>
              <w:t>Can propose and prioritize engineering headcount, approve requisition requests within delegated plan, and recommend senior hires; final company headcount/offer controls remain governed.</w:t>
            </w:r>
          </w:p>
        </w:tc>
        <w:tc>
          <w:tcPr>
            <w:tcW w:type="dxa" w:w="1615"/>
            <w:vAlign w:val="top"/>
          </w:tcPr>
          <w:p>
            <w:pPr>
              <w:spacing w:after="0" w:line="182" w:lineRule="auto"/>
            </w:pPr>
            <w:r>
              <w:rPr>
                <w:sz w:val="12"/>
              </w:rPr>
              <w:t>Can approve many engineering hiring recommendations within delegated scope; senior/executive appointments require higher approval.</w:t>
            </w:r>
          </w:p>
        </w:tc>
        <w:tc>
          <w:tcPr>
            <w:tcW w:type="dxa" w:w="1615"/>
            <w:vAlign w:val="top"/>
          </w:tcPr>
          <w:p>
            <w:pPr>
              <w:spacing w:after="0" w:line="182" w:lineRule="auto"/>
            </w:pPr>
            <w:r>
              <w:rPr>
                <w:sz w:val="12"/>
              </w:rPr>
              <w:t>Department-level calibration and manager performance oversight; cannot falsify, erase or bypass formal HR records/processes.</w:t>
            </w:r>
          </w:p>
        </w:tc>
        <w:tc>
          <w:tcPr>
            <w:tcW w:type="dxa" w:w="1615"/>
            <w:vAlign w:val="top"/>
          </w:tcPr>
          <w:p>
            <w:pPr>
              <w:spacing w:after="0" w:line="182" w:lineRule="auto"/>
            </w:pPr>
            <w:r>
              <w:rPr>
                <w:sz w:val="12"/>
              </w:rPr>
              <w:t>Can approve selected promotions within engineering scope where policy delegates L4 authority; senior/executive promotions require L5/HR process.</w:t>
            </w:r>
          </w:p>
        </w:tc>
        <w:tc>
          <w:tcPr>
            <w:tcW w:type="dxa" w:w="1615"/>
            <w:vAlign w:val="top"/>
          </w:tcPr>
          <w:p>
            <w:pPr>
              <w:spacing w:after="0" w:line="182" w:lineRule="auto"/>
            </w:pPr>
            <w:r>
              <w:rPr>
                <w:sz w:val="12"/>
              </w:rPr>
              <w:t>Can approve selected internal engineering transfers and recommend cross-department moves.</w:t>
            </w:r>
          </w:p>
        </w:tc>
        <w:tc>
          <w:tcPr>
            <w:tcW w:type="dxa" w:w="1615"/>
            <w:vAlign w:val="top"/>
          </w:tcPr>
          <w:p>
            <w:pPr>
              <w:spacing w:after="0" w:line="182" w:lineRule="auto"/>
            </w:pPr>
            <w:r>
              <w:rPr>
                <w:sz w:val="12"/>
              </w:rPr>
              <w:t>Can initiate/recommend termination and approve only where formal policy delegates; protected HR workflow and HR review remain mandatory.</w:t>
            </w:r>
          </w:p>
        </w:tc>
        <w:tc>
          <w:tcPr>
            <w:tcW w:type="dxa" w:w="1615"/>
            <w:vAlign w:val="top"/>
          </w:tcPr>
          <w:p>
            <w:pPr>
              <w:spacing w:after="0" w:line="182" w:lineRule="auto"/>
            </w:pPr>
            <w:r>
              <w:rPr>
                <w:sz w:val="12"/>
              </w:rPr>
              <w:t>Approve creation/closure of eligible engineering projects; change department priorities; reallocate resources across engineering teams.</w:t>
            </w:r>
          </w:p>
        </w:tc>
        <w:tc>
          <w:tcPr>
            <w:tcW w:type="dxa" w:w="1615"/>
            <w:vAlign w:val="top"/>
          </w:tcPr>
          <w:p>
            <w:pPr>
              <w:spacing w:after="0" w:line="182" w:lineRule="auto"/>
            </w:pPr>
            <w:r>
              <w:rPr>
                <w:sz w:val="12"/>
              </w:rPr>
              <w:t>Authorized engineering/QA/cloud workforce structure, performance summaries, project allocation, skills, staffing, operational metrics and approved compensation bands where policy permits.</w:t>
            </w:r>
          </w:p>
        </w:tc>
        <w:tc>
          <w:tcPr>
            <w:tcW w:type="dxa" w:w="1615"/>
            <w:vAlign w:val="top"/>
          </w:tcPr>
          <w:p>
            <w:pPr>
              <w:spacing w:after="0" w:line="182" w:lineRule="auto"/>
            </w:pPr>
            <w:r>
              <w:rPr>
                <w:sz w:val="12"/>
              </w:rPr>
              <w:t>May coordinate shared programs and request resource changes; cannot directly modify another director's protected records without delegated authority.</w:t>
            </w:r>
          </w:p>
        </w:tc>
        <w:tc>
          <w:tcPr>
            <w:tcW w:type="dxa" w:w="1615"/>
            <w:vAlign w:val="top"/>
          </w:tcPr>
          <w:p>
            <w:pPr>
              <w:spacing w:after="0" w:line="182" w:lineRule="auto"/>
            </w:pPr>
            <w:r>
              <w:rPr>
                <w:sz w:val="12"/>
              </w:rPr>
              <w:t>Architecture review; engineering standards; release/risk governance; privileged-access oversight escalation; technical policy compliance.</w:t>
            </w:r>
          </w:p>
        </w:tc>
        <w:tc>
          <w:tcPr>
            <w:tcW w:type="dxa" w:w="1615"/>
            <w:vAlign w:val="top"/>
          </w:tcPr>
          <w:p>
            <w:pPr>
              <w:spacing w:after="0" w:line="182" w:lineRule="auto"/>
            </w:pPr>
            <w:r>
              <w:rPr>
                <w:sz w:val="12"/>
              </w:rPr>
              <w:t>Technology delivery risk, reliability risk, engineering-control adherence and escalation of material security/operational risks.</w:t>
            </w:r>
          </w:p>
        </w:tc>
      </w:tr>
      <w:tr>
        <w:tc>
          <w:tcPr>
            <w:tcW w:type="dxa" w:w="1615"/>
            <w:vAlign w:val="top"/>
          </w:tcPr>
          <w:p>
            <w:pPr>
              <w:spacing w:after="0" w:line="182" w:lineRule="auto"/>
            </w:pPr>
            <w:r>
              <w:rPr>
                <w:sz w:val="12"/>
              </w:rPr>
              <w:t>EMP-3002</w:t>
            </w:r>
          </w:p>
        </w:tc>
        <w:tc>
          <w:tcPr>
            <w:tcW w:type="dxa" w:w="1615"/>
            <w:vAlign w:val="top"/>
          </w:tcPr>
          <w:p>
            <w:pPr>
              <w:spacing w:after="0" w:line="182" w:lineRule="auto"/>
            </w:pPr>
            <w:r>
              <w:rPr>
                <w:sz w:val="12"/>
              </w:rPr>
              <w:t>Karan Bhatia</w:t>
            </w:r>
          </w:p>
        </w:tc>
        <w:tc>
          <w:tcPr>
            <w:tcW w:type="dxa" w:w="1615"/>
            <w:vAlign w:val="top"/>
          </w:tcPr>
          <w:p>
            <w:pPr>
              <w:spacing w:after="0" w:line="182" w:lineRule="auto"/>
            </w:pPr>
            <w:r>
              <w:rPr>
                <w:sz w:val="12"/>
              </w:rPr>
              <w:t>Controls approved product/analytics planning envelope and can reprioritize delegated investment; major spend requires executive/finance approval.</w:t>
            </w:r>
          </w:p>
        </w:tc>
        <w:tc>
          <w:tcPr>
            <w:tcW w:type="dxa" w:w="1615"/>
            <w:vAlign w:val="top"/>
          </w:tcPr>
          <w:p>
            <w:pPr>
              <w:spacing w:after="0" w:line="182" w:lineRule="auto"/>
            </w:pPr>
            <w:r>
              <w:rPr>
                <w:sz w:val="12"/>
              </w:rPr>
              <w:t>Prioritizes product/design/analytics requisitions and approves delegated openings; major growth plans require executive approval.</w:t>
            </w:r>
          </w:p>
        </w:tc>
        <w:tc>
          <w:tcPr>
            <w:tcW w:type="dxa" w:w="1615"/>
            <w:vAlign w:val="top"/>
          </w:tcPr>
          <w:p>
            <w:pPr>
              <w:spacing w:after="0" w:line="182" w:lineRule="auto"/>
            </w:pPr>
            <w:r>
              <w:rPr>
                <w:sz w:val="12"/>
              </w:rPr>
              <w:t>Can approve many manager/IC recommendations within scope; executive/senior director roles require L5.</w:t>
            </w:r>
          </w:p>
        </w:tc>
        <w:tc>
          <w:tcPr>
            <w:tcW w:type="dxa" w:w="1615"/>
            <w:vAlign w:val="top"/>
          </w:tcPr>
          <w:p>
            <w:pPr>
              <w:spacing w:after="0" w:line="182" w:lineRule="auto"/>
            </w:pPr>
            <w:r>
              <w:rPr>
                <w:sz w:val="12"/>
              </w:rPr>
              <w:t>Oversees manager calibration and departmental performance process under HR policy.</w:t>
            </w:r>
          </w:p>
        </w:tc>
        <w:tc>
          <w:tcPr>
            <w:tcW w:type="dxa" w:w="1615"/>
            <w:vAlign w:val="top"/>
          </w:tcPr>
          <w:p>
            <w:pPr>
              <w:spacing w:after="0" w:line="182" w:lineRule="auto"/>
            </w:pPr>
            <w:r>
              <w:rPr>
                <w:sz w:val="12"/>
              </w:rPr>
              <w:t>Can approve eligible promotions within delegated product/analytics scope; senior promotions require executive/HR approval.</w:t>
            </w:r>
          </w:p>
        </w:tc>
        <w:tc>
          <w:tcPr>
            <w:tcW w:type="dxa" w:w="1615"/>
            <w:vAlign w:val="top"/>
          </w:tcPr>
          <w:p>
            <w:pPr>
              <w:spacing w:after="0" w:line="182" w:lineRule="auto"/>
            </w:pPr>
            <w:r>
              <w:rPr>
                <w:sz w:val="12"/>
              </w:rPr>
              <w:t>Can approve selected transfers within portfolio and recommend cross-department transfers.</w:t>
            </w:r>
          </w:p>
        </w:tc>
        <w:tc>
          <w:tcPr>
            <w:tcW w:type="dxa" w:w="1615"/>
            <w:vAlign w:val="top"/>
          </w:tcPr>
          <w:p>
            <w:pPr>
              <w:spacing w:after="0" w:line="182" w:lineRule="auto"/>
            </w:pPr>
            <w:r>
              <w:rPr>
                <w:sz w:val="12"/>
              </w:rPr>
              <w:t>Can initiate protected HR process but cannot bypass HR/legal safeguards.</w:t>
            </w:r>
          </w:p>
        </w:tc>
        <w:tc>
          <w:tcPr>
            <w:tcW w:type="dxa" w:w="1615"/>
            <w:vAlign w:val="top"/>
          </w:tcPr>
          <w:p>
            <w:pPr>
              <w:spacing w:after="0" w:line="182" w:lineRule="auto"/>
            </w:pPr>
            <w:r>
              <w:rPr>
                <w:sz w:val="12"/>
              </w:rPr>
              <w:t>Can create/close eligible initiatives, reprioritize roadmap, reallocate product/design/analytics resources within policy.</w:t>
            </w:r>
          </w:p>
        </w:tc>
        <w:tc>
          <w:tcPr>
            <w:tcW w:type="dxa" w:w="1615"/>
            <w:vAlign w:val="top"/>
          </w:tcPr>
          <w:p>
            <w:pPr>
              <w:spacing w:after="0" w:line="182" w:lineRule="auto"/>
            </w:pPr>
            <w:r>
              <w:rPr>
                <w:sz w:val="12"/>
              </w:rPr>
              <w:t>Authorized product/design/analytics workforce and portfolio data, performance summaries, project metrics, approved customer insight.</w:t>
            </w:r>
          </w:p>
        </w:tc>
        <w:tc>
          <w:tcPr>
            <w:tcW w:type="dxa" w:w="1615"/>
            <w:vAlign w:val="top"/>
          </w:tcPr>
          <w:p>
            <w:pPr>
              <w:spacing w:after="0" w:line="182" w:lineRule="auto"/>
            </w:pPr>
            <w:r>
              <w:rPr>
                <w:sz w:val="12"/>
              </w:rPr>
              <w:t>Can negotiate shared engineering/operations capacity but cannot directly override another director's protected allocation without agreement/delegation.</w:t>
            </w:r>
          </w:p>
        </w:tc>
        <w:tc>
          <w:tcPr>
            <w:tcW w:type="dxa" w:w="1615"/>
            <w:vAlign w:val="top"/>
          </w:tcPr>
          <w:p>
            <w:pPr>
              <w:spacing w:after="0" w:line="182" w:lineRule="auto"/>
            </w:pPr>
            <w:r>
              <w:rPr>
                <w:sz w:val="12"/>
              </w:rPr>
              <w:t>Roadmap governance; product decision records; experimentation standards; analytics metric governance; customer-data handling escalation.</w:t>
            </w:r>
          </w:p>
        </w:tc>
        <w:tc>
          <w:tcPr>
            <w:tcW w:type="dxa" w:w="1615"/>
            <w:vAlign w:val="top"/>
          </w:tcPr>
          <w:p>
            <w:pPr>
              <w:spacing w:after="0" w:line="182" w:lineRule="auto"/>
            </w:pPr>
            <w:r>
              <w:rPr>
                <w:sz w:val="12"/>
              </w:rPr>
              <w:t>Product/customer risk, data-use risk, launch risk, investment risk and policy adherence.</w:t>
            </w:r>
          </w:p>
        </w:tc>
      </w:tr>
      <w:tr>
        <w:tc>
          <w:tcPr>
            <w:tcW w:type="dxa" w:w="1615"/>
            <w:vAlign w:val="top"/>
          </w:tcPr>
          <w:p>
            <w:pPr>
              <w:spacing w:after="0" w:line="182" w:lineRule="auto"/>
            </w:pPr>
            <w:r>
              <w:rPr>
                <w:sz w:val="12"/>
              </w:rPr>
              <w:t>EMP-3003</w:t>
            </w:r>
          </w:p>
        </w:tc>
        <w:tc>
          <w:tcPr>
            <w:tcW w:type="dxa" w:w="1615"/>
            <w:vAlign w:val="top"/>
          </w:tcPr>
          <w:p>
            <w:pPr>
              <w:spacing w:after="0" w:line="182" w:lineRule="auto"/>
            </w:pPr>
            <w:r>
              <w:rPr>
                <w:sz w:val="12"/>
              </w:rPr>
              <w:t>Nisha Gupta</w:t>
            </w:r>
          </w:p>
        </w:tc>
        <w:tc>
          <w:tcPr>
            <w:tcW w:type="dxa" w:w="1615"/>
            <w:vAlign w:val="top"/>
          </w:tcPr>
          <w:p>
            <w:pPr>
              <w:spacing w:after="0" w:line="182" w:lineRule="auto"/>
            </w:pPr>
            <w:r>
              <w:rPr>
                <w:sz w:val="12"/>
              </w:rPr>
              <w:t>Controls approved HR program/resource envelope; major benefit/vendor/headcount changes require executive/finance approval.</w:t>
            </w:r>
          </w:p>
        </w:tc>
        <w:tc>
          <w:tcPr>
            <w:tcW w:type="dxa" w:w="1615"/>
            <w:vAlign w:val="top"/>
          </w:tcPr>
          <w:p>
            <w:pPr>
              <w:spacing w:after="0" w:line="182" w:lineRule="auto"/>
            </w:pPr>
            <w:r>
              <w:rPr>
                <w:sz w:val="12"/>
              </w:rPr>
              <w:t>Coordinates workforce plan and validates requisition process; final company headcount remains executive/finance governed.</w:t>
            </w:r>
          </w:p>
        </w:tc>
        <w:tc>
          <w:tcPr>
            <w:tcW w:type="dxa" w:w="1615"/>
            <w:vAlign w:val="top"/>
          </w:tcPr>
          <w:p>
            <w:pPr>
              <w:spacing w:after="0" w:line="182" w:lineRule="auto"/>
            </w:pPr>
            <w:r>
              <w:rPr>
                <w:sz w:val="12"/>
              </w:rPr>
              <w:t>Can approve many HR process stages and senior hiring workflows within delegation; executive appointments require L5/board process.</w:t>
            </w:r>
          </w:p>
        </w:tc>
        <w:tc>
          <w:tcPr>
            <w:tcW w:type="dxa" w:w="1615"/>
            <w:vAlign w:val="top"/>
          </w:tcPr>
          <w:p>
            <w:pPr>
              <w:spacing w:after="0" w:line="182" w:lineRule="auto"/>
            </w:pPr>
            <w:r>
              <w:rPr>
                <w:sz w:val="12"/>
              </w:rPr>
              <w:t>Oversees performance-cycle governance and calibration; cannot fabricate, erase or secretly rewrite records.</w:t>
            </w:r>
          </w:p>
        </w:tc>
        <w:tc>
          <w:tcPr>
            <w:tcW w:type="dxa" w:w="1615"/>
            <w:vAlign w:val="top"/>
          </w:tcPr>
          <w:p>
            <w:pPr>
              <w:spacing w:after="0" w:line="182" w:lineRule="auto"/>
            </w:pPr>
            <w:r>
              <w:rPr>
                <w:sz w:val="12"/>
              </w:rPr>
              <w:t>Can approve eligible promotions where HR and business approvals are satisfied; executive/senior protected changes require higher authority.</w:t>
            </w:r>
          </w:p>
        </w:tc>
        <w:tc>
          <w:tcPr>
            <w:tcW w:type="dxa" w:w="1615"/>
            <w:vAlign w:val="top"/>
          </w:tcPr>
          <w:p>
            <w:pPr>
              <w:spacing w:after="0" w:line="182" w:lineRule="auto"/>
            </w:pPr>
            <w:r>
              <w:rPr>
                <w:sz w:val="12"/>
              </w:rPr>
              <w:t>Can approve eligible transfers under policy when required business approvals exist.</w:t>
            </w:r>
          </w:p>
        </w:tc>
        <w:tc>
          <w:tcPr>
            <w:tcW w:type="dxa" w:w="1615"/>
            <w:vAlign w:val="top"/>
          </w:tcPr>
          <w:p>
            <w:pPr>
              <w:spacing w:after="0" w:line="182" w:lineRule="auto"/>
            </w:pPr>
            <w:r>
              <w:rPr>
                <w:sz w:val="12"/>
              </w:rPr>
              <w:t>Can manage/approve protected termination workflow within policy but cannot bypass legal/process requirements or delete evidence.</w:t>
            </w:r>
          </w:p>
        </w:tc>
        <w:tc>
          <w:tcPr>
            <w:tcW w:type="dxa" w:w="1615"/>
            <w:vAlign w:val="top"/>
          </w:tcPr>
          <w:p>
            <w:pPr>
              <w:spacing w:after="0" w:line="182" w:lineRule="auto"/>
            </w:pPr>
            <w:r>
              <w:rPr>
                <w:sz w:val="12"/>
              </w:rPr>
              <w:t>Owns HR transformation programs and workforce-process projects.</w:t>
            </w:r>
          </w:p>
        </w:tc>
        <w:tc>
          <w:tcPr>
            <w:tcW w:type="dxa" w:w="1615"/>
            <w:vAlign w:val="top"/>
          </w:tcPr>
          <w:p>
            <w:pPr>
              <w:spacing w:after="0" w:line="182" w:lineRule="auto"/>
            </w:pPr>
            <w:r>
              <w:rPr>
                <w:sz w:val="12"/>
              </w:rPr>
              <w:t>Broad authorized HR records necessary for role, subject to purpose limitation and policy; sensitive investigations remain need-to-know.</w:t>
            </w:r>
          </w:p>
        </w:tc>
        <w:tc>
          <w:tcPr>
            <w:tcW w:type="dxa" w:w="1615"/>
            <w:vAlign w:val="top"/>
          </w:tcPr>
          <w:p>
            <w:pPr>
              <w:spacing w:after="0" w:line="182" w:lineRule="auto"/>
            </w:pPr>
            <w:r>
              <w:rPr>
                <w:sz w:val="12"/>
              </w:rPr>
              <w:t>Can administer HR processes across departments but does not inherit technical/business permissions of those departments.</w:t>
            </w:r>
          </w:p>
        </w:tc>
        <w:tc>
          <w:tcPr>
            <w:tcW w:type="dxa" w:w="1615"/>
            <w:vAlign w:val="top"/>
          </w:tcPr>
          <w:p>
            <w:pPr>
              <w:spacing w:after="0" w:line="182" w:lineRule="auto"/>
            </w:pPr>
            <w:r>
              <w:rPr>
                <w:sz w:val="12"/>
              </w:rPr>
              <w:t>Employment-policy governance; approval separation; HR auditability; lifecycle controls; retention of protected employment records.</w:t>
            </w:r>
          </w:p>
        </w:tc>
        <w:tc>
          <w:tcPr>
            <w:tcW w:type="dxa" w:w="1615"/>
            <w:vAlign w:val="top"/>
          </w:tcPr>
          <w:p>
            <w:pPr>
              <w:spacing w:after="0" w:line="182" w:lineRule="auto"/>
            </w:pPr>
            <w:r>
              <w:rPr>
                <w:sz w:val="12"/>
              </w:rPr>
              <w:t>Employment compliance, people risk, sensitive-data handling, process fairness and auditability.</w:t>
            </w:r>
          </w:p>
        </w:tc>
      </w:tr>
      <w:tr>
        <w:tc>
          <w:tcPr>
            <w:tcW w:type="dxa" w:w="1615"/>
            <w:vAlign w:val="top"/>
          </w:tcPr>
          <w:p>
            <w:pPr>
              <w:spacing w:after="0" w:line="182" w:lineRule="auto"/>
            </w:pPr>
            <w:r>
              <w:rPr>
                <w:sz w:val="12"/>
              </w:rPr>
              <w:t>EMP-3004</w:t>
            </w:r>
          </w:p>
        </w:tc>
        <w:tc>
          <w:tcPr>
            <w:tcW w:type="dxa" w:w="1615"/>
            <w:vAlign w:val="top"/>
          </w:tcPr>
          <w:p>
            <w:pPr>
              <w:spacing w:after="0" w:line="182" w:lineRule="auto"/>
            </w:pPr>
            <w:r>
              <w:rPr>
                <w:sz w:val="12"/>
              </w:rPr>
              <w:t>Sameer Kulkarni</w:t>
            </w:r>
          </w:p>
        </w:tc>
        <w:tc>
          <w:tcPr>
            <w:tcW w:type="dxa" w:w="1615"/>
            <w:vAlign w:val="top"/>
          </w:tcPr>
          <w:p>
            <w:pPr>
              <w:spacing w:after="0" w:line="182" w:lineRule="auto"/>
            </w:pPr>
            <w:r>
              <w:rPr>
                <w:sz w:val="12"/>
              </w:rPr>
              <w:t>Manages approved operational program envelope and vendor/resource allocation; material spend requires Finance/Executive approval.</w:t>
            </w:r>
          </w:p>
        </w:tc>
        <w:tc>
          <w:tcPr>
            <w:tcW w:type="dxa" w:w="1615"/>
            <w:vAlign w:val="top"/>
          </w:tcPr>
          <w:p>
            <w:pPr>
              <w:spacing w:after="0" w:line="182" w:lineRule="auto"/>
            </w:pPr>
            <w:r>
              <w:rPr>
                <w:sz w:val="12"/>
              </w:rPr>
              <w:t>Prioritizes operational staffing within approved plan and recommends expansion; major headcount changes require executive approval.</w:t>
            </w:r>
          </w:p>
        </w:tc>
        <w:tc>
          <w:tcPr>
            <w:tcW w:type="dxa" w:w="1615"/>
            <w:vAlign w:val="top"/>
          </w:tcPr>
          <w:p>
            <w:pPr>
              <w:spacing w:after="0" w:line="182" w:lineRule="auto"/>
            </w:pPr>
            <w:r>
              <w:rPr>
                <w:sz w:val="12"/>
              </w:rPr>
              <w:t>Approves delegated operational hiring recommendations; senior/executive roles require higher authority.</w:t>
            </w:r>
          </w:p>
        </w:tc>
        <w:tc>
          <w:tcPr>
            <w:tcW w:type="dxa" w:w="1615"/>
            <w:vAlign w:val="top"/>
          </w:tcPr>
          <w:p>
            <w:pPr>
              <w:spacing w:after="0" w:line="182" w:lineRule="auto"/>
            </w:pPr>
            <w:r>
              <w:rPr>
                <w:sz w:val="12"/>
              </w:rPr>
              <w:t>Department-level manager calibration and performance oversight under HR policy.</w:t>
            </w:r>
          </w:p>
        </w:tc>
        <w:tc>
          <w:tcPr>
            <w:tcW w:type="dxa" w:w="1615"/>
            <w:vAlign w:val="top"/>
          </w:tcPr>
          <w:p>
            <w:pPr>
              <w:spacing w:after="0" w:line="182" w:lineRule="auto"/>
            </w:pPr>
            <w:r>
              <w:rPr>
                <w:sz w:val="12"/>
              </w:rPr>
              <w:t>Can approve selected promotions within operations where delegated; senior protected changes require executive/HR.</w:t>
            </w:r>
          </w:p>
        </w:tc>
        <w:tc>
          <w:tcPr>
            <w:tcW w:type="dxa" w:w="1615"/>
            <w:vAlign w:val="top"/>
          </w:tcPr>
          <w:p>
            <w:pPr>
              <w:spacing w:after="0" w:line="182" w:lineRule="auto"/>
            </w:pPr>
            <w:r>
              <w:rPr>
                <w:sz w:val="12"/>
              </w:rPr>
              <w:t>Can approve selected operational transfers and recommend cross-department moves.</w:t>
            </w:r>
          </w:p>
        </w:tc>
        <w:tc>
          <w:tcPr>
            <w:tcW w:type="dxa" w:w="1615"/>
            <w:vAlign w:val="top"/>
          </w:tcPr>
          <w:p>
            <w:pPr>
              <w:spacing w:after="0" w:line="182" w:lineRule="auto"/>
            </w:pPr>
            <w:r>
              <w:rPr>
                <w:sz w:val="12"/>
              </w:rPr>
              <w:t>Can initiate/recommend protected termination; formal HR/legal process cannot be bypassed.</w:t>
            </w:r>
          </w:p>
        </w:tc>
        <w:tc>
          <w:tcPr>
            <w:tcW w:type="dxa" w:w="1615"/>
            <w:vAlign w:val="top"/>
          </w:tcPr>
          <w:p>
            <w:pPr>
              <w:spacing w:after="0" w:line="182" w:lineRule="auto"/>
            </w:pPr>
            <w:r>
              <w:rPr>
                <w:sz w:val="12"/>
              </w:rPr>
              <w:t>Approve eligible operations programs; reprioritize resources; close or restructure ordinary initiatives within scope.</w:t>
            </w:r>
          </w:p>
        </w:tc>
        <w:tc>
          <w:tcPr>
            <w:tcW w:type="dxa" w:w="1615"/>
            <w:vAlign w:val="top"/>
          </w:tcPr>
          <w:p>
            <w:pPr>
              <w:spacing w:after="0" w:line="182" w:lineRule="auto"/>
            </w:pPr>
            <w:r>
              <w:rPr>
                <w:sz w:val="12"/>
              </w:rPr>
              <w:t>Authorized operations workforce, service metrics, project/resource data, performance summaries and approved vendor information.</w:t>
            </w:r>
          </w:p>
        </w:tc>
        <w:tc>
          <w:tcPr>
            <w:tcW w:type="dxa" w:w="1615"/>
            <w:vAlign w:val="top"/>
          </w:tcPr>
          <w:p>
            <w:pPr>
              <w:spacing w:after="0" w:line="182" w:lineRule="auto"/>
            </w:pPr>
            <w:r>
              <w:rPr>
                <w:sz w:val="12"/>
              </w:rPr>
              <w:t>Can coordinate enterprise programs but cannot directly override another department's protected HR/security/data decisions.</w:t>
            </w:r>
          </w:p>
        </w:tc>
        <w:tc>
          <w:tcPr>
            <w:tcW w:type="dxa" w:w="1615"/>
            <w:vAlign w:val="top"/>
          </w:tcPr>
          <w:p>
            <w:pPr>
              <w:spacing w:after="0" w:line="182" w:lineRule="auto"/>
            </w:pPr>
            <w:r>
              <w:rPr>
                <w:sz w:val="12"/>
              </w:rPr>
              <w:t>Process standards; service-level governance; vendor controls; continuity planning; operational auditability.</w:t>
            </w:r>
          </w:p>
        </w:tc>
        <w:tc>
          <w:tcPr>
            <w:tcW w:type="dxa" w:w="1615"/>
            <w:vAlign w:val="top"/>
          </w:tcPr>
          <w:p>
            <w:pPr>
              <w:spacing w:after="0" w:line="182" w:lineRule="auto"/>
            </w:pPr>
            <w:r>
              <w:rPr>
                <w:sz w:val="12"/>
              </w:rPr>
              <w:t>Operational continuity, vendor risk, service risk, process-control adherence and escalation.</w:t>
            </w:r>
          </w:p>
        </w:tc>
      </w:tr>
      <w:tr>
        <w:tc>
          <w:tcPr>
            <w:tcW w:type="dxa" w:w="1615"/>
            <w:vAlign w:val="top"/>
          </w:tcPr>
          <w:p>
            <w:pPr>
              <w:spacing w:after="0" w:line="182" w:lineRule="auto"/>
            </w:pPr>
            <w:r>
              <w:rPr>
                <w:sz w:val="12"/>
              </w:rPr>
              <w:t>EMP-3005</w:t>
            </w:r>
          </w:p>
        </w:tc>
        <w:tc>
          <w:tcPr>
            <w:tcW w:type="dxa" w:w="1615"/>
            <w:vAlign w:val="top"/>
          </w:tcPr>
          <w:p>
            <w:pPr>
              <w:spacing w:after="0" w:line="182" w:lineRule="auto"/>
            </w:pPr>
            <w:r>
              <w:rPr>
                <w:sz w:val="12"/>
              </w:rPr>
              <w:t>Maya Krishnan</w:t>
            </w:r>
          </w:p>
        </w:tc>
        <w:tc>
          <w:tcPr>
            <w:tcW w:type="dxa" w:w="1615"/>
            <w:vAlign w:val="top"/>
          </w:tcPr>
          <w:p>
            <w:pPr>
              <w:spacing w:after="0" w:line="182" w:lineRule="auto"/>
            </w:pPr>
            <w:r>
              <w:rPr>
                <w:sz w:val="12"/>
              </w:rPr>
              <w:t>Prioritizes approved security investment and tooling; material spend requires executive/finance approval.</w:t>
            </w:r>
          </w:p>
        </w:tc>
        <w:tc>
          <w:tcPr>
            <w:tcW w:type="dxa" w:w="1615"/>
            <w:vAlign w:val="top"/>
          </w:tcPr>
          <w:p>
            <w:pPr>
              <w:spacing w:after="0" w:line="182" w:lineRule="auto"/>
            </w:pPr>
            <w:r>
              <w:rPr>
                <w:sz w:val="12"/>
              </w:rPr>
              <w:t>Prioritizes security roles and approves delegated requisitions; major expansion requires executive plan.</w:t>
            </w:r>
          </w:p>
        </w:tc>
        <w:tc>
          <w:tcPr>
            <w:tcW w:type="dxa" w:w="1615"/>
            <w:vAlign w:val="top"/>
          </w:tcPr>
          <w:p>
            <w:pPr>
              <w:spacing w:after="0" w:line="182" w:lineRule="auto"/>
            </w:pPr>
            <w:r>
              <w:rPr>
                <w:sz w:val="12"/>
              </w:rPr>
              <w:t>Can approve many security hires within delegation; senior/executive appointments require higher approval.</w:t>
            </w:r>
          </w:p>
        </w:tc>
        <w:tc>
          <w:tcPr>
            <w:tcW w:type="dxa" w:w="1615"/>
            <w:vAlign w:val="top"/>
          </w:tcPr>
          <w:p>
            <w:pPr>
              <w:spacing w:after="0" w:line="182" w:lineRule="auto"/>
            </w:pPr>
            <w:r>
              <w:rPr>
                <w:sz w:val="12"/>
              </w:rPr>
              <w:t>Oversees security manager performance/calibration under HR controls.</w:t>
            </w:r>
          </w:p>
        </w:tc>
        <w:tc>
          <w:tcPr>
            <w:tcW w:type="dxa" w:w="1615"/>
            <w:vAlign w:val="top"/>
          </w:tcPr>
          <w:p>
            <w:pPr>
              <w:spacing w:after="0" w:line="182" w:lineRule="auto"/>
            </w:pPr>
            <w:r>
              <w:rPr>
                <w:sz w:val="12"/>
              </w:rPr>
              <w:t>Can approve selected security promotions within delegation; senior/executive changes require L5/HR.</w:t>
            </w:r>
          </w:p>
        </w:tc>
        <w:tc>
          <w:tcPr>
            <w:tcW w:type="dxa" w:w="1615"/>
            <w:vAlign w:val="top"/>
          </w:tcPr>
          <w:p>
            <w:pPr>
              <w:spacing w:after="0" w:line="182" w:lineRule="auto"/>
            </w:pPr>
            <w:r>
              <w:rPr>
                <w:sz w:val="12"/>
              </w:rPr>
              <w:t>Can approve eligible internal security transfers and recommend cross-department security moves.</w:t>
            </w:r>
          </w:p>
        </w:tc>
        <w:tc>
          <w:tcPr>
            <w:tcW w:type="dxa" w:w="1615"/>
            <w:vAlign w:val="top"/>
          </w:tcPr>
          <w:p>
            <w:pPr>
              <w:spacing w:after="0" w:line="182" w:lineRule="auto"/>
            </w:pPr>
            <w:r>
              <w:rPr>
                <w:sz w:val="12"/>
              </w:rPr>
              <w:t>Can initiate/recommend actions for serious security matters, but HR/legal due process remains mandatory.</w:t>
            </w:r>
          </w:p>
        </w:tc>
        <w:tc>
          <w:tcPr>
            <w:tcW w:type="dxa" w:w="1615"/>
            <w:vAlign w:val="top"/>
          </w:tcPr>
          <w:p>
            <w:pPr>
              <w:spacing w:after="0" w:line="182" w:lineRule="auto"/>
            </w:pPr>
            <w:r>
              <w:rPr>
                <w:sz w:val="12"/>
              </w:rPr>
              <w:t>Approve eligible security projects, prioritize remediation and allocate security resources.</w:t>
            </w:r>
          </w:p>
        </w:tc>
        <w:tc>
          <w:tcPr>
            <w:tcW w:type="dxa" w:w="1615"/>
            <w:vAlign w:val="top"/>
          </w:tcPr>
          <w:p>
            <w:pPr>
              <w:spacing w:after="0" w:line="182" w:lineRule="auto"/>
            </w:pPr>
            <w:r>
              <w:rPr>
                <w:sz w:val="12"/>
              </w:rPr>
              <w:t>Security events, risk reports, authorized identity/access metadata, department workforce data and approved audit summaries.</w:t>
            </w:r>
          </w:p>
        </w:tc>
        <w:tc>
          <w:tcPr>
            <w:tcW w:type="dxa" w:w="1615"/>
            <w:vAlign w:val="top"/>
          </w:tcPr>
          <w:p>
            <w:pPr>
              <w:spacing w:after="0" w:line="182" w:lineRule="auto"/>
            </w:pPr>
            <w:r>
              <w:rPr>
                <w:sz w:val="12"/>
              </w:rPr>
              <w:t>Can require/coordinate security controls but does not automatically receive unrestricted business/HR data unrelated to security purpose.</w:t>
            </w:r>
          </w:p>
        </w:tc>
        <w:tc>
          <w:tcPr>
            <w:tcW w:type="dxa" w:w="1615"/>
            <w:vAlign w:val="top"/>
          </w:tcPr>
          <w:p>
            <w:pPr>
              <w:spacing w:after="0" w:line="182" w:lineRule="auto"/>
            </w:pPr>
            <w:r>
              <w:rPr>
                <w:sz w:val="12"/>
              </w:rPr>
              <w:t>Security policy; IAM controls; risk acceptance workflow; incident governance; audit evidence integrity; agent-security standards.</w:t>
            </w:r>
          </w:p>
        </w:tc>
        <w:tc>
          <w:tcPr>
            <w:tcW w:type="dxa" w:w="1615"/>
            <w:vAlign w:val="top"/>
          </w:tcPr>
          <w:p>
            <w:pPr>
              <w:spacing w:after="0" w:line="182" w:lineRule="auto"/>
            </w:pPr>
            <w:r>
              <w:rPr>
                <w:sz w:val="12"/>
              </w:rPr>
              <w:t>Cybersecurity, identity, access, incident, third-party security and control-compliance risk.</w:t>
            </w:r>
          </w:p>
        </w:tc>
      </w:tr>
    </w:tbl>
    <w:p>
      <w:r>
        <w:br w:type="page"/>
      </w:r>
    </w:p>
    <w:p>
      <w:pPr>
        <w:pStyle w:val="Heading1"/>
      </w:pPr>
      <w:r>
        <w:t>Table 4 - Voice Permissions, Approval Dependencies, Restrictions and High-Risk Controls</w:t>
      </w:r>
    </w:p>
    <w:tbl>
      <w:tblPr>
        <w:tblStyle w:val="TableGrid"/>
        <w:tblW w:type="auto" w:w="0"/>
        <w:jc w:val="center"/>
        <w:tblLook w:firstColumn="1" w:firstRow="1" w:lastColumn="0" w:lastRow="0" w:noHBand="0" w:noVBand="1" w:val="04A0"/>
      </w:tblPr>
      <w:tblGrid>
        <w:gridCol w:w="1884"/>
        <w:gridCol w:w="1884"/>
        <w:gridCol w:w="1884"/>
        <w:gridCol w:w="1884"/>
        <w:gridCol w:w="1884"/>
        <w:gridCol w:w="1884"/>
        <w:gridCol w:w="1884"/>
        <w:gridCol w:w="1884"/>
        <w:gridCol w:w="1884"/>
        <w:gridCol w:w="1884"/>
        <w:gridCol w:w="1884"/>
        <w:gridCol w:w="1884"/>
      </w:tblGrid>
      <w:tr>
        <w:trPr>
          <w:tblHeader w:val="true"/>
        </w:trPr>
        <w:tc>
          <w:tcPr>
            <w:tcW w:type="dxa" w:w="1884"/>
            <w:shd w:fill="1F4E78"/>
          </w:tcPr>
          <w:p>
            <w:r>
              <w:rPr>
                <w:b/>
                <w:color w:val="FFFFFF"/>
                <w:sz w:val="12"/>
              </w:rPr>
              <w:t>Employee ID</w:t>
            </w:r>
          </w:p>
        </w:tc>
        <w:tc>
          <w:tcPr>
            <w:tcW w:type="dxa" w:w="1884"/>
            <w:shd w:fill="1F4E78"/>
          </w:tcPr>
          <w:p>
            <w:r>
              <w:rPr>
                <w:b/>
                <w:color w:val="FFFFFF"/>
                <w:sz w:val="12"/>
              </w:rPr>
              <w:t>Full Name</w:t>
            </w:r>
          </w:p>
        </w:tc>
        <w:tc>
          <w:tcPr>
            <w:tcW w:type="dxa" w:w="1884"/>
            <w:shd w:fill="1F4E78"/>
          </w:tcPr>
          <w:p>
            <w:r>
              <w:rPr>
                <w:b/>
                <w:color w:val="FFFFFF"/>
                <w:sz w:val="12"/>
              </w:rPr>
              <w:t>Can Modify by Voice</w:t>
            </w:r>
          </w:p>
        </w:tc>
        <w:tc>
          <w:tcPr>
            <w:tcW w:type="dxa" w:w="1884"/>
            <w:shd w:fill="1F4E78"/>
          </w:tcPr>
          <w:p>
            <w:r>
              <w:rPr>
                <w:b/>
                <w:color w:val="FFFFFF"/>
                <w:sz w:val="12"/>
              </w:rPr>
              <w:t>Can Approve by Voice</w:t>
            </w:r>
          </w:p>
        </w:tc>
        <w:tc>
          <w:tcPr>
            <w:tcW w:type="dxa" w:w="1884"/>
            <w:shd w:fill="1F4E78"/>
          </w:tcPr>
          <w:p>
            <w:r>
              <w:rPr>
                <w:b/>
                <w:color w:val="FFFFFF"/>
                <w:sz w:val="12"/>
              </w:rPr>
              <w:t>Can Recommend by Voice</w:t>
            </w:r>
          </w:p>
        </w:tc>
        <w:tc>
          <w:tcPr>
            <w:tcW w:type="dxa" w:w="1884"/>
            <w:shd w:fill="1F4E78"/>
          </w:tcPr>
          <w:p>
            <w:r>
              <w:rPr>
                <w:b/>
                <w:color w:val="FFFFFF"/>
                <w:sz w:val="12"/>
              </w:rPr>
              <w:t>Requires Executive / HR / Finance Approval</w:t>
            </w:r>
          </w:p>
        </w:tc>
        <w:tc>
          <w:tcPr>
            <w:tcW w:type="dxa" w:w="1884"/>
            <w:shd w:fill="1F4E78"/>
          </w:tcPr>
          <w:p>
            <w:r>
              <w:rPr>
                <w:b/>
                <w:color w:val="FFFFFF"/>
                <w:sz w:val="12"/>
              </w:rPr>
              <w:t>Cannot View</w:t>
            </w:r>
          </w:p>
        </w:tc>
        <w:tc>
          <w:tcPr>
            <w:tcW w:type="dxa" w:w="1884"/>
            <w:shd w:fill="1F4E78"/>
          </w:tcPr>
          <w:p>
            <w:r>
              <w:rPr>
                <w:b/>
                <w:color w:val="FFFFFF"/>
                <w:sz w:val="12"/>
              </w:rPr>
              <w:t>Cannot Perform</w:t>
            </w:r>
          </w:p>
        </w:tc>
        <w:tc>
          <w:tcPr>
            <w:tcW w:type="dxa" w:w="1884"/>
            <w:shd w:fill="1F4E78"/>
          </w:tcPr>
          <w:p>
            <w:r>
              <w:rPr>
                <w:b/>
                <w:color w:val="FFFFFF"/>
                <w:sz w:val="12"/>
              </w:rPr>
              <w:t>Self-Elevation Rule</w:t>
            </w:r>
          </w:p>
        </w:tc>
        <w:tc>
          <w:tcPr>
            <w:tcW w:type="dxa" w:w="1884"/>
            <w:shd w:fill="1F4E78"/>
          </w:tcPr>
          <w:p>
            <w:r>
              <w:rPr>
                <w:b/>
                <w:color w:val="FFFFFF"/>
                <w:sz w:val="12"/>
              </w:rPr>
              <w:t>Delegation Rule</w:t>
            </w:r>
          </w:p>
        </w:tc>
        <w:tc>
          <w:tcPr>
            <w:tcW w:type="dxa" w:w="1884"/>
            <w:shd w:fill="1F4E78"/>
          </w:tcPr>
          <w:p>
            <w:r>
              <w:rPr>
                <w:b/>
                <w:color w:val="FFFFFF"/>
                <w:sz w:val="12"/>
              </w:rPr>
              <w:t>High-Risk Voice Actions</w:t>
            </w:r>
          </w:p>
        </w:tc>
        <w:tc>
          <w:tcPr>
            <w:tcW w:type="dxa" w:w="1884"/>
            <w:shd w:fill="1F4E78"/>
          </w:tcPr>
          <w:p>
            <w:r>
              <w:rPr>
                <w:b/>
                <w:color w:val="FFFFFF"/>
                <w:sz w:val="12"/>
              </w:rPr>
              <w:t>Executive Escalation Path</w:t>
            </w:r>
          </w:p>
        </w:tc>
      </w:tr>
      <w:tr>
        <w:tc>
          <w:tcPr>
            <w:tcW w:type="dxa" w:w="1884"/>
            <w:vAlign w:val="top"/>
          </w:tcPr>
          <w:p>
            <w:pPr>
              <w:spacing w:after="0" w:line="182" w:lineRule="auto"/>
            </w:pPr>
            <w:r>
              <w:rPr>
                <w:sz w:val="12"/>
              </w:rPr>
              <w:t>EMP-3001</w:t>
            </w:r>
          </w:p>
        </w:tc>
        <w:tc>
          <w:tcPr>
            <w:tcW w:type="dxa" w:w="1884"/>
            <w:vAlign w:val="top"/>
          </w:tcPr>
          <w:p>
            <w:pPr>
              <w:spacing w:after="0" w:line="182" w:lineRule="auto"/>
            </w:pPr>
            <w:r>
              <w:rPr>
                <w:sz w:val="12"/>
              </w:rPr>
              <w:t>Vikram Malhotra</w:t>
            </w:r>
          </w:p>
        </w:tc>
        <w:tc>
          <w:tcPr>
            <w:tcW w:type="dxa" w:w="1884"/>
            <w:vAlign w:val="top"/>
          </w:tcPr>
          <w:p>
            <w:pPr>
              <w:spacing w:after="0" w:line="182" w:lineRule="auto"/>
            </w:pPr>
            <w:r>
              <w:rPr>
                <w:sz w:val="12"/>
              </w:rPr>
              <w:t>Approved department resource allocation; eligible project status/ownership; selected manager assignments; ordinary departmental organizational fields; own permitted profile data.</w:t>
            </w:r>
          </w:p>
        </w:tc>
        <w:tc>
          <w:tcPr>
            <w:tcW w:type="dxa" w:w="1884"/>
            <w:vAlign w:val="top"/>
          </w:tcPr>
          <w:p>
            <w:pPr>
              <w:spacing w:after="0" w:line="182" w:lineRule="auto"/>
            </w:pPr>
            <w:r>
              <w:rPr>
                <w:sz w:val="12"/>
              </w:rPr>
              <w:t>Eligible project creation/closure; manager requests; selected promotions/transfers; department resource changes, subject to verification and policy.</w:t>
            </w:r>
          </w:p>
        </w:tc>
        <w:tc>
          <w:tcPr>
            <w:tcW w:type="dxa" w:w="1884"/>
            <w:vAlign w:val="top"/>
          </w:tcPr>
          <w:p>
            <w:pPr>
              <w:spacing w:after="0" w:line="182" w:lineRule="auto"/>
            </w:pPr>
            <w:r>
              <w:rPr>
                <w:sz w:val="12"/>
              </w:rPr>
              <w:t>Senior promotions; executive appointments; major budget; headcount; reorganization; compensation exceptions; strategic investments.</w:t>
            </w:r>
          </w:p>
        </w:tc>
        <w:tc>
          <w:tcPr>
            <w:tcW w:type="dxa" w:w="1884"/>
            <w:vAlign w:val="top"/>
          </w:tcPr>
          <w:p>
            <w:pPr>
              <w:spacing w:after="0" w:line="182" w:lineRule="auto"/>
            </w:pPr>
            <w:r>
              <w:rPr>
                <w:sz w:val="12"/>
              </w:rPr>
              <w:t>Executive roles; material budget increases; senior compensation; major reorganization; protected termination cases; company-wide policy changes.</w:t>
            </w:r>
          </w:p>
        </w:tc>
        <w:tc>
          <w:tcPr>
            <w:tcW w:type="dxa" w:w="1884"/>
            <w:vAlign w:val="top"/>
          </w:tcPr>
          <w:p>
            <w:pPr>
              <w:spacing w:after="0" w:line="182" w:lineRule="auto"/>
            </w:pPr>
            <w:r>
              <w:rPr>
                <w:sz w:val="12"/>
              </w:rPr>
              <w:t>Private keys; provider secrets; unrelated protected investigations; information explicitly segregated by legal/security policy.</w:t>
            </w:r>
          </w:p>
        </w:tc>
        <w:tc>
          <w:tcPr>
            <w:tcW w:type="dxa" w:w="1884"/>
            <w:vAlign w:val="top"/>
          </w:tcPr>
          <w:p>
            <w:pPr>
              <w:spacing w:after="0" w:line="182" w:lineRule="auto"/>
            </w:pPr>
            <w:r>
              <w:rPr>
                <w:sz w:val="12"/>
              </w:rPr>
              <w:t>Grant self unrestricted admin; change own L4/L5 authority; delete audit history; disable IntentLock; bypass speaker verification; alter signed evidence; arbitrary database commands.</w:t>
            </w:r>
          </w:p>
        </w:tc>
        <w:tc>
          <w:tcPr>
            <w:tcW w:type="dxa" w:w="1884"/>
            <w:vAlign w:val="top"/>
          </w:tcPr>
          <w:p>
            <w:pPr>
              <w:spacing w:after="0" w:line="182" w:lineRule="auto"/>
            </w:pPr>
            <w:r>
              <w:rPr>
                <w:sz w:val="12"/>
              </w:rPr>
              <w:t>Director authority cannot be used to promote self, widen own security scope or convert business authority into system-admin privileges.</w:t>
            </w:r>
          </w:p>
        </w:tc>
        <w:tc>
          <w:tcPr>
            <w:tcW w:type="dxa" w:w="1884"/>
            <w:vAlign w:val="top"/>
          </w:tcPr>
          <w:p>
            <w:pPr>
              <w:spacing w:after="0" w:line="182" w:lineRule="auto"/>
            </w:pPr>
            <w:r>
              <w:rPr>
                <w:sz w:val="12"/>
              </w:rPr>
              <w:t>Can delegate business/project authority within owned scope but cannot delegate security/HR powers beyond what policy grants.</w:t>
            </w:r>
          </w:p>
        </w:tc>
        <w:tc>
          <w:tcPr>
            <w:tcW w:type="dxa" w:w="1884"/>
            <w:vAlign w:val="top"/>
          </w:tcPr>
          <w:p>
            <w:pPr>
              <w:spacing w:after="0" w:line="182" w:lineRule="auto"/>
            </w:pPr>
            <w:r>
              <w:rPr>
                <w:sz w:val="12"/>
              </w:rPr>
              <w:t>Promotion/transfer execution, privileged access, major resource changes and sensitive employee actions require step-up confirmation or additional approval.</w:t>
            </w:r>
          </w:p>
        </w:tc>
        <w:tc>
          <w:tcPr>
            <w:tcW w:type="dxa" w:w="1884"/>
            <w:vAlign w:val="top"/>
          </w:tcPr>
          <w:p>
            <w:pPr>
              <w:spacing w:after="0" w:line="182" w:lineRule="auto"/>
            </w:pPr>
            <w:r>
              <w:rPr>
                <w:sz w:val="12"/>
              </w:rPr>
              <w:t>COO Ananya Iyer; CHRO for protected employment matters; CIO/CISO-equivalent governance for privileged security matters.</w:t>
            </w:r>
          </w:p>
        </w:tc>
      </w:tr>
      <w:tr>
        <w:tc>
          <w:tcPr>
            <w:tcW w:type="dxa" w:w="1884"/>
            <w:vAlign w:val="top"/>
          </w:tcPr>
          <w:p>
            <w:pPr>
              <w:spacing w:after="0" w:line="182" w:lineRule="auto"/>
            </w:pPr>
            <w:r>
              <w:rPr>
                <w:sz w:val="12"/>
              </w:rPr>
              <w:t>EMP-3002</w:t>
            </w:r>
          </w:p>
        </w:tc>
        <w:tc>
          <w:tcPr>
            <w:tcW w:type="dxa" w:w="1884"/>
            <w:vAlign w:val="top"/>
          </w:tcPr>
          <w:p>
            <w:pPr>
              <w:spacing w:after="0" w:line="182" w:lineRule="auto"/>
            </w:pPr>
            <w:r>
              <w:rPr>
                <w:sz w:val="12"/>
              </w:rPr>
              <w:t>Karan Bhatia</w:t>
            </w:r>
          </w:p>
        </w:tc>
        <w:tc>
          <w:tcPr>
            <w:tcW w:type="dxa" w:w="1884"/>
            <w:vAlign w:val="top"/>
          </w:tcPr>
          <w:p>
            <w:pPr>
              <w:spacing w:after="0" w:line="182" w:lineRule="auto"/>
            </w:pPr>
            <w:r>
              <w:rPr>
                <w:sz w:val="12"/>
              </w:rPr>
              <w:t>Portfolio priorities; eligible initiative ownership; approved resource allocations; selected manager assignments; own permitted profile.</w:t>
            </w:r>
          </w:p>
        </w:tc>
        <w:tc>
          <w:tcPr>
            <w:tcW w:type="dxa" w:w="1884"/>
            <w:vAlign w:val="top"/>
          </w:tcPr>
          <w:p>
            <w:pPr>
              <w:spacing w:after="0" w:line="182" w:lineRule="auto"/>
            </w:pPr>
            <w:r>
              <w:rPr>
                <w:sz w:val="12"/>
              </w:rPr>
              <w:t>Eligible product initiatives; selected promotions/transfers; manager requests; portfolio changes within delegated limits.</w:t>
            </w:r>
          </w:p>
        </w:tc>
        <w:tc>
          <w:tcPr>
            <w:tcW w:type="dxa" w:w="1884"/>
            <w:vAlign w:val="top"/>
          </w:tcPr>
          <w:p>
            <w:pPr>
              <w:spacing w:after="0" w:line="182" w:lineRule="auto"/>
            </w:pPr>
            <w:r>
              <w:rPr>
                <w:sz w:val="12"/>
              </w:rPr>
              <w:t>Major investment; senior hiring; compensation exceptions; company-level product strategy; reorganization.</w:t>
            </w:r>
          </w:p>
        </w:tc>
        <w:tc>
          <w:tcPr>
            <w:tcW w:type="dxa" w:w="1884"/>
            <w:vAlign w:val="top"/>
          </w:tcPr>
          <w:p>
            <w:pPr>
              <w:spacing w:after="0" w:line="182" w:lineRule="auto"/>
            </w:pPr>
            <w:r>
              <w:rPr>
                <w:sz w:val="12"/>
              </w:rPr>
              <w:t>Material budgets, executive appointments, major reorg, senior compensation, protected terminations, company-wide data policy.</w:t>
            </w:r>
          </w:p>
        </w:tc>
        <w:tc>
          <w:tcPr>
            <w:tcW w:type="dxa" w:w="1884"/>
            <w:vAlign w:val="top"/>
          </w:tcPr>
          <w:p>
            <w:pPr>
              <w:spacing w:after="0" w:line="182" w:lineRule="auto"/>
            </w:pPr>
            <w:r>
              <w:rPr>
                <w:sz w:val="12"/>
              </w:rPr>
              <w:t>Unrestricted HR investigations; private security credentials; legally segregated data; unrelated executive confidential records.</w:t>
            </w:r>
          </w:p>
        </w:tc>
        <w:tc>
          <w:tcPr>
            <w:tcW w:type="dxa" w:w="1884"/>
            <w:vAlign w:val="top"/>
          </w:tcPr>
          <w:p>
            <w:pPr>
              <w:spacing w:after="0" w:line="182" w:lineRule="auto"/>
            </w:pPr>
            <w:r>
              <w:rPr>
                <w:sz w:val="12"/>
              </w:rPr>
              <w:t>Self-promote; grant self admin; bypass data governance; delete audits; disable IntentLock; arbitrary DB access.</w:t>
            </w:r>
          </w:p>
        </w:tc>
        <w:tc>
          <w:tcPr>
            <w:tcW w:type="dxa" w:w="1884"/>
            <w:vAlign w:val="top"/>
          </w:tcPr>
          <w:p>
            <w:pPr>
              <w:spacing w:after="0" w:line="182" w:lineRule="auto"/>
            </w:pPr>
            <w:r>
              <w:rPr>
                <w:sz w:val="12"/>
              </w:rPr>
              <w:t>Cannot convert portfolio authority into executive, HR or system-security authority.</w:t>
            </w:r>
          </w:p>
        </w:tc>
        <w:tc>
          <w:tcPr>
            <w:tcW w:type="dxa" w:w="1884"/>
            <w:vAlign w:val="top"/>
          </w:tcPr>
          <w:p>
            <w:pPr>
              <w:spacing w:after="0" w:line="182" w:lineRule="auto"/>
            </w:pPr>
            <w:r>
              <w:rPr>
                <w:sz w:val="12"/>
              </w:rPr>
              <w:t>Can delegate product decisions but not restricted HR/security/data privileges beyond policy.</w:t>
            </w:r>
          </w:p>
        </w:tc>
        <w:tc>
          <w:tcPr>
            <w:tcW w:type="dxa" w:w="1884"/>
            <w:vAlign w:val="top"/>
          </w:tcPr>
          <w:p>
            <w:pPr>
              <w:spacing w:after="0" w:line="182" w:lineRule="auto"/>
            </w:pPr>
            <w:r>
              <w:rPr>
                <w:sz w:val="12"/>
              </w:rPr>
              <w:t>Sensitive customer data, senior role changes, large resource reallocations and cross-department transfers require step-up controls.</w:t>
            </w:r>
          </w:p>
        </w:tc>
        <w:tc>
          <w:tcPr>
            <w:tcW w:type="dxa" w:w="1884"/>
            <w:vAlign w:val="top"/>
          </w:tcPr>
          <w:p>
            <w:pPr>
              <w:spacing w:after="0" w:line="182" w:lineRule="auto"/>
            </w:pPr>
            <w:r>
              <w:rPr>
                <w:sz w:val="12"/>
              </w:rPr>
              <w:t>COO Ananya Iyer; HR for employment; Data/Security governance for sensitive information; Finance for material spend.</w:t>
            </w:r>
          </w:p>
        </w:tc>
      </w:tr>
      <w:tr>
        <w:tc>
          <w:tcPr>
            <w:tcW w:type="dxa" w:w="1884"/>
            <w:vAlign w:val="top"/>
          </w:tcPr>
          <w:p>
            <w:pPr>
              <w:spacing w:after="0" w:line="182" w:lineRule="auto"/>
            </w:pPr>
            <w:r>
              <w:rPr>
                <w:sz w:val="12"/>
              </w:rPr>
              <w:t>EMP-3003</w:t>
            </w:r>
          </w:p>
        </w:tc>
        <w:tc>
          <w:tcPr>
            <w:tcW w:type="dxa" w:w="1884"/>
            <w:vAlign w:val="top"/>
          </w:tcPr>
          <w:p>
            <w:pPr>
              <w:spacing w:after="0" w:line="182" w:lineRule="auto"/>
            </w:pPr>
            <w:r>
              <w:rPr>
                <w:sz w:val="12"/>
              </w:rPr>
              <w:t>Nisha Gupta</w:t>
            </w:r>
          </w:p>
        </w:tc>
        <w:tc>
          <w:tcPr>
            <w:tcW w:type="dxa" w:w="1884"/>
            <w:vAlign w:val="top"/>
          </w:tcPr>
          <w:p>
            <w:pPr>
              <w:spacing w:after="0" w:line="182" w:lineRule="auto"/>
            </w:pPr>
            <w:r>
              <w:rPr>
                <w:sz w:val="12"/>
              </w:rPr>
              <w:t>Eligible HR workflow states; approved transfer/promotion records after all required approvals; own permitted profile; selected HR program data.</w:t>
            </w:r>
          </w:p>
        </w:tc>
        <w:tc>
          <w:tcPr>
            <w:tcW w:type="dxa" w:w="1884"/>
            <w:vAlign w:val="top"/>
          </w:tcPr>
          <w:p>
            <w:pPr>
              <w:spacing w:after="0" w:line="182" w:lineRule="auto"/>
            </w:pPr>
            <w:r>
              <w:rPr>
                <w:sz w:val="12"/>
              </w:rPr>
              <w:t>Eligible HR actions when all required business/HR approvals are present; sensitive actions may require explicit confirmation.</w:t>
            </w:r>
          </w:p>
        </w:tc>
        <w:tc>
          <w:tcPr>
            <w:tcW w:type="dxa" w:w="1884"/>
            <w:vAlign w:val="top"/>
          </w:tcPr>
          <w:p>
            <w:pPr>
              <w:spacing w:after="0" w:line="182" w:lineRule="auto"/>
            </w:pPr>
            <w:r>
              <w:rPr>
                <w:sz w:val="12"/>
              </w:rPr>
              <w:t>Executive workforce changes; policy updates; major reorganization; compensation frameworks; workforce investment.</w:t>
            </w:r>
          </w:p>
        </w:tc>
        <w:tc>
          <w:tcPr>
            <w:tcW w:type="dxa" w:w="1884"/>
            <w:vAlign w:val="top"/>
          </w:tcPr>
          <w:p>
            <w:pPr>
              <w:spacing w:after="0" w:line="182" w:lineRule="auto"/>
            </w:pPr>
            <w:r>
              <w:rPr>
                <w:sz w:val="12"/>
              </w:rPr>
              <w:t>Executive compensation/appointments, major restructuring, material benefit/budget changes, legally sensitive cases as required.</w:t>
            </w:r>
          </w:p>
        </w:tc>
        <w:tc>
          <w:tcPr>
            <w:tcW w:type="dxa" w:w="1884"/>
            <w:vAlign w:val="top"/>
          </w:tcPr>
          <w:p>
            <w:pPr>
              <w:spacing w:after="0" w:line="182" w:lineRule="auto"/>
            </w:pPr>
            <w:r>
              <w:rPr>
                <w:sz w:val="12"/>
              </w:rPr>
              <w:t>Private cryptographic keys; provider secrets; security data unrelated to HR purpose; legally segregated information without authorization.</w:t>
            </w:r>
          </w:p>
        </w:tc>
        <w:tc>
          <w:tcPr>
            <w:tcW w:type="dxa" w:w="1884"/>
            <w:vAlign w:val="top"/>
          </w:tcPr>
          <w:p>
            <w:pPr>
              <w:spacing w:after="0" w:line="182" w:lineRule="auto"/>
            </w:pPr>
            <w:r>
              <w:rPr>
                <w:sz w:val="12"/>
              </w:rPr>
              <w:t>Delete audit history; bypass required business approval; impersonate approvers; disable IntentLock; self-promote; alter immutable evidence.</w:t>
            </w:r>
          </w:p>
        </w:tc>
        <w:tc>
          <w:tcPr>
            <w:tcW w:type="dxa" w:w="1884"/>
            <w:vAlign w:val="top"/>
          </w:tcPr>
          <w:p>
            <w:pPr>
              <w:spacing w:after="0" w:line="182" w:lineRule="auto"/>
            </w:pPr>
            <w:r>
              <w:rPr>
                <w:sz w:val="12"/>
              </w:rPr>
              <w:t>HR authority cannot be used to grant self executive/system privileges or bypass required independent approval.</w:t>
            </w:r>
          </w:p>
        </w:tc>
        <w:tc>
          <w:tcPr>
            <w:tcW w:type="dxa" w:w="1884"/>
            <w:vAlign w:val="top"/>
          </w:tcPr>
          <w:p>
            <w:pPr>
              <w:spacing w:after="0" w:line="182" w:lineRule="auto"/>
            </w:pPr>
            <w:r>
              <w:rPr>
                <w:sz w:val="12"/>
              </w:rPr>
              <w:t>May delegate HR operational tasks, not final protected approvals where separation-of-duties requires another approver.</w:t>
            </w:r>
          </w:p>
        </w:tc>
        <w:tc>
          <w:tcPr>
            <w:tcW w:type="dxa" w:w="1884"/>
            <w:vAlign w:val="top"/>
          </w:tcPr>
          <w:p>
            <w:pPr>
              <w:spacing w:after="0" w:line="182" w:lineRule="auto"/>
            </w:pPr>
            <w:r>
              <w:rPr>
                <w:sz w:val="12"/>
              </w:rPr>
              <w:t>Promotion execution, termination, sensitive case changes and executive transfers require strong verification, confirmation and multi-party approval where policy demands.</w:t>
            </w:r>
          </w:p>
        </w:tc>
        <w:tc>
          <w:tcPr>
            <w:tcW w:type="dxa" w:w="1884"/>
            <w:vAlign w:val="top"/>
          </w:tcPr>
          <w:p>
            <w:pPr>
              <w:spacing w:after="0" w:line="182" w:lineRule="auto"/>
            </w:pPr>
            <w:r>
              <w:rPr>
                <w:sz w:val="12"/>
              </w:rPr>
              <w:t>COO/Executive Administrator Ananya Iyer; legal/compliance for sensitive cases; relevant business Director for employee decisions.</w:t>
            </w:r>
          </w:p>
        </w:tc>
      </w:tr>
      <w:tr>
        <w:tc>
          <w:tcPr>
            <w:tcW w:type="dxa" w:w="1884"/>
            <w:vAlign w:val="top"/>
          </w:tcPr>
          <w:p>
            <w:pPr>
              <w:spacing w:after="0" w:line="182" w:lineRule="auto"/>
            </w:pPr>
            <w:r>
              <w:rPr>
                <w:sz w:val="12"/>
              </w:rPr>
              <w:t>EMP-3004</w:t>
            </w:r>
          </w:p>
        </w:tc>
        <w:tc>
          <w:tcPr>
            <w:tcW w:type="dxa" w:w="1884"/>
            <w:vAlign w:val="top"/>
          </w:tcPr>
          <w:p>
            <w:pPr>
              <w:spacing w:after="0" w:line="182" w:lineRule="auto"/>
            </w:pPr>
            <w:r>
              <w:rPr>
                <w:sz w:val="12"/>
              </w:rPr>
              <w:t>Sameer Kulkarni</w:t>
            </w:r>
          </w:p>
        </w:tc>
        <w:tc>
          <w:tcPr>
            <w:tcW w:type="dxa" w:w="1884"/>
            <w:vAlign w:val="top"/>
          </w:tcPr>
          <w:p>
            <w:pPr>
              <w:spacing w:after="0" w:line="182" w:lineRule="auto"/>
            </w:pPr>
            <w:r>
              <w:rPr>
                <w:sz w:val="12"/>
              </w:rPr>
              <w:t>Eligible resource allocation; operational program ownership/status; selected manager assignments; own permitted profile.</w:t>
            </w:r>
          </w:p>
        </w:tc>
        <w:tc>
          <w:tcPr>
            <w:tcW w:type="dxa" w:w="1884"/>
            <w:vAlign w:val="top"/>
          </w:tcPr>
          <w:p>
            <w:pPr>
              <w:spacing w:after="0" w:line="182" w:lineRule="auto"/>
            </w:pPr>
            <w:r>
              <w:rPr>
                <w:sz w:val="12"/>
              </w:rPr>
              <w:t>Eligible operations initiatives; manager requests; selected promotions/transfers; ordinary resource changes.</w:t>
            </w:r>
          </w:p>
        </w:tc>
        <w:tc>
          <w:tcPr>
            <w:tcW w:type="dxa" w:w="1884"/>
            <w:vAlign w:val="top"/>
          </w:tcPr>
          <w:p>
            <w:pPr>
              <w:spacing w:after="0" w:line="182" w:lineRule="auto"/>
            </w:pPr>
            <w:r>
              <w:rPr>
                <w:sz w:val="12"/>
              </w:rPr>
              <w:t>Major budget; senior staffing; reorganization; strategic vendor changes; company process policy.</w:t>
            </w:r>
          </w:p>
        </w:tc>
        <w:tc>
          <w:tcPr>
            <w:tcW w:type="dxa" w:w="1884"/>
            <w:vAlign w:val="top"/>
          </w:tcPr>
          <w:p>
            <w:pPr>
              <w:spacing w:after="0" w:line="182" w:lineRule="auto"/>
            </w:pPr>
            <w:r>
              <w:rPr>
                <w:sz w:val="12"/>
              </w:rPr>
              <w:t>Material budget/vendor commitments; executive roles; major reorganization; senior compensation; protected termination.</w:t>
            </w:r>
          </w:p>
        </w:tc>
        <w:tc>
          <w:tcPr>
            <w:tcW w:type="dxa" w:w="1884"/>
            <w:vAlign w:val="top"/>
          </w:tcPr>
          <w:p>
            <w:pPr>
              <w:spacing w:after="0" w:line="182" w:lineRule="auto"/>
            </w:pPr>
            <w:r>
              <w:rPr>
                <w:sz w:val="12"/>
              </w:rPr>
              <w:t>Security secrets; unrelated HR investigations; private keys; legally restricted information outside operational purpose.</w:t>
            </w:r>
          </w:p>
        </w:tc>
        <w:tc>
          <w:tcPr>
            <w:tcW w:type="dxa" w:w="1884"/>
            <w:vAlign w:val="top"/>
          </w:tcPr>
          <w:p>
            <w:pPr>
              <w:spacing w:after="0" w:line="182" w:lineRule="auto"/>
            </w:pPr>
            <w:r>
              <w:rPr>
                <w:sz w:val="12"/>
              </w:rPr>
              <w:t>Disable IntentLock; delete audits; self-elevate; grant system admin; bypass HR/finance approval; arbitrary database commands.</w:t>
            </w:r>
          </w:p>
        </w:tc>
        <w:tc>
          <w:tcPr>
            <w:tcW w:type="dxa" w:w="1884"/>
            <w:vAlign w:val="top"/>
          </w:tcPr>
          <w:p>
            <w:pPr>
              <w:spacing w:after="0" w:line="182" w:lineRule="auto"/>
            </w:pPr>
            <w:r>
              <w:rPr>
                <w:sz w:val="12"/>
              </w:rPr>
              <w:t>Cannot use operational authority to increase own executive/security privilege.</w:t>
            </w:r>
          </w:p>
        </w:tc>
        <w:tc>
          <w:tcPr>
            <w:tcW w:type="dxa" w:w="1884"/>
            <w:vAlign w:val="top"/>
          </w:tcPr>
          <w:p>
            <w:pPr>
              <w:spacing w:after="0" w:line="182" w:lineRule="auto"/>
            </w:pPr>
            <w:r>
              <w:rPr>
                <w:sz w:val="12"/>
              </w:rPr>
              <w:t>Can delegate program/process decisions but not security or HR powers outside policy.</w:t>
            </w:r>
          </w:p>
        </w:tc>
        <w:tc>
          <w:tcPr>
            <w:tcW w:type="dxa" w:w="1884"/>
            <w:vAlign w:val="top"/>
          </w:tcPr>
          <w:p>
            <w:pPr>
              <w:spacing w:after="0" w:line="182" w:lineRule="auto"/>
            </w:pPr>
            <w:r>
              <w:rPr>
                <w:sz w:val="12"/>
              </w:rPr>
              <w:t>Major vendor/resource changes, senior transfers and business-continuity actions require step-up confirmation/approval.</w:t>
            </w:r>
          </w:p>
        </w:tc>
        <w:tc>
          <w:tcPr>
            <w:tcW w:type="dxa" w:w="1884"/>
            <w:vAlign w:val="top"/>
          </w:tcPr>
          <w:p>
            <w:pPr>
              <w:spacing w:after="0" w:line="182" w:lineRule="auto"/>
            </w:pPr>
            <w:r>
              <w:rPr>
                <w:sz w:val="12"/>
              </w:rPr>
              <w:t>COO Ananya Iyer; Finance for spend; HR for employment; Security for sensitive system operations.</w:t>
            </w:r>
          </w:p>
        </w:tc>
      </w:tr>
      <w:tr>
        <w:tc>
          <w:tcPr>
            <w:tcW w:type="dxa" w:w="1884"/>
            <w:vAlign w:val="top"/>
          </w:tcPr>
          <w:p>
            <w:pPr>
              <w:spacing w:after="0" w:line="182" w:lineRule="auto"/>
            </w:pPr>
            <w:r>
              <w:rPr>
                <w:sz w:val="12"/>
              </w:rPr>
              <w:t>EMP-3005</w:t>
            </w:r>
          </w:p>
        </w:tc>
        <w:tc>
          <w:tcPr>
            <w:tcW w:type="dxa" w:w="1884"/>
            <w:vAlign w:val="top"/>
          </w:tcPr>
          <w:p>
            <w:pPr>
              <w:spacing w:after="0" w:line="182" w:lineRule="auto"/>
            </w:pPr>
            <w:r>
              <w:rPr>
                <w:sz w:val="12"/>
              </w:rPr>
              <w:t>Maya Krishnan</w:t>
            </w:r>
          </w:p>
        </w:tc>
        <w:tc>
          <w:tcPr>
            <w:tcW w:type="dxa" w:w="1884"/>
            <w:vAlign w:val="top"/>
          </w:tcPr>
          <w:p>
            <w:pPr>
              <w:spacing w:after="0" w:line="182" w:lineRule="auto"/>
            </w:pPr>
            <w:r>
              <w:rPr>
                <w:sz w:val="12"/>
              </w:rPr>
              <w:t>Eligible security workflow states; approved remediation ownership; selected risk records; department resource allocation; own permitted profile.</w:t>
            </w:r>
          </w:p>
        </w:tc>
        <w:tc>
          <w:tcPr>
            <w:tcW w:type="dxa" w:w="1884"/>
            <w:vAlign w:val="top"/>
          </w:tcPr>
          <w:p>
            <w:pPr>
              <w:spacing w:after="0" w:line="182" w:lineRule="auto"/>
            </w:pPr>
            <w:r>
              <w:rPr>
                <w:sz w:val="12"/>
              </w:rPr>
              <w:t>Eligible access/security requests within delegated policy; selected risk decisions; security project changes, often with step-up confirmation.</w:t>
            </w:r>
          </w:p>
        </w:tc>
        <w:tc>
          <w:tcPr>
            <w:tcW w:type="dxa" w:w="1884"/>
            <w:vAlign w:val="top"/>
          </w:tcPr>
          <w:p>
            <w:pPr>
              <w:spacing w:after="0" w:line="182" w:lineRule="auto"/>
            </w:pPr>
            <w:r>
              <w:rPr>
                <w:sz w:val="12"/>
              </w:rPr>
              <w:t>Major risk acceptance; strategic security investment; senior access exceptions; policy changes; executive security decisions.</w:t>
            </w:r>
          </w:p>
        </w:tc>
        <w:tc>
          <w:tcPr>
            <w:tcW w:type="dxa" w:w="1884"/>
            <w:vAlign w:val="top"/>
          </w:tcPr>
          <w:p>
            <w:pPr>
              <w:spacing w:after="0" w:line="182" w:lineRule="auto"/>
            </w:pPr>
            <w:r>
              <w:rPr>
                <w:sz w:val="12"/>
              </w:rPr>
              <w:t>Material security spend; executive access exceptions; major risk acceptance; senior employment actions; company-wide policy exceptions as defined.</w:t>
            </w:r>
          </w:p>
        </w:tc>
        <w:tc>
          <w:tcPr>
            <w:tcW w:type="dxa" w:w="1884"/>
            <w:vAlign w:val="top"/>
          </w:tcPr>
          <w:p>
            <w:pPr>
              <w:spacing w:after="0" w:line="182" w:lineRule="auto"/>
            </w:pPr>
            <w:r>
              <w:rPr>
                <w:sz w:val="12"/>
              </w:rPr>
              <w:t>Private signing keys unless separately authorized by key-management controls; raw secrets by default; unrelated HR/legal records.</w:t>
            </w:r>
          </w:p>
        </w:tc>
        <w:tc>
          <w:tcPr>
            <w:tcW w:type="dxa" w:w="1884"/>
            <w:vAlign w:val="top"/>
          </w:tcPr>
          <w:p>
            <w:pPr>
              <w:spacing w:after="0" w:line="182" w:lineRule="auto"/>
            </w:pPr>
            <w:r>
              <w:rPr>
                <w:sz w:val="12"/>
              </w:rPr>
              <w:t>Delete immutable audit history; disable mandatory verification for self; reveal private keys; self-grant unrestricted access; forge evidence; bypass separation of duties.</w:t>
            </w:r>
          </w:p>
        </w:tc>
        <w:tc>
          <w:tcPr>
            <w:tcW w:type="dxa" w:w="1884"/>
            <w:vAlign w:val="top"/>
          </w:tcPr>
          <w:p>
            <w:pPr>
              <w:spacing w:after="0" w:line="182" w:lineRule="auto"/>
            </w:pPr>
            <w:r>
              <w:rPr>
                <w:sz w:val="12"/>
              </w:rPr>
              <w:t>Security leadership does not permit bypassing controls protecting the security leader's own account or actions.</w:t>
            </w:r>
          </w:p>
        </w:tc>
        <w:tc>
          <w:tcPr>
            <w:tcW w:type="dxa" w:w="1884"/>
            <w:vAlign w:val="top"/>
          </w:tcPr>
          <w:p>
            <w:pPr>
              <w:spacing w:after="0" w:line="182" w:lineRule="auto"/>
            </w:pPr>
            <w:r>
              <w:rPr>
                <w:sz w:val="12"/>
              </w:rPr>
              <w:t>Can delegate reviews/remediation, not private credentials or independent approval requirements.</w:t>
            </w:r>
          </w:p>
        </w:tc>
        <w:tc>
          <w:tcPr>
            <w:tcW w:type="dxa" w:w="1884"/>
            <w:vAlign w:val="top"/>
          </w:tcPr>
          <w:p>
            <w:pPr>
              <w:spacing w:after="0" w:line="182" w:lineRule="auto"/>
            </w:pPr>
            <w:r>
              <w:rPr>
                <w:sz w:val="12"/>
              </w:rPr>
              <w:t>Privileged access, risk acceptance, security-control changes and incident containment actions require stronger authorization/confirmation.</w:t>
            </w:r>
          </w:p>
        </w:tc>
        <w:tc>
          <w:tcPr>
            <w:tcW w:type="dxa" w:w="1884"/>
            <w:vAlign w:val="top"/>
          </w:tcPr>
          <w:p>
            <w:pPr>
              <w:spacing w:after="0" w:line="182" w:lineRule="auto"/>
            </w:pPr>
            <w:r>
              <w:rPr>
                <w:sz w:val="12"/>
              </w:rPr>
              <w:t>COO Ananya Iyer and appropriate executive governance; HR/legal for employee cases; system owner for protected production actions.</w:t>
            </w:r>
          </w:p>
        </w:tc>
      </w:tr>
    </w:tbl>
    <w:p>
      <w:r>
        <w:br w:type="page"/>
      </w:r>
    </w:p>
    <w:p>
      <w:pPr>
        <w:pStyle w:val="Heading1"/>
      </w:pPr>
      <w:r>
        <w:t>Table 5 - IntentLock Security Rules, Demo Commands and Director Activity History</w:t>
      </w:r>
    </w:p>
    <w:tbl>
      <w:tblPr>
        <w:tblStyle w:val="TableGrid"/>
        <w:tblW w:type="auto" w:w="0"/>
        <w:jc w:val="center"/>
        <w:tblLook w:firstColumn="1" w:firstRow="1" w:lastColumn="0" w:lastRow="0" w:noHBand="0" w:noVBand="1" w:val="04A0"/>
      </w:tblPr>
      <w:tblGrid>
        <w:gridCol w:w="3768"/>
        <w:gridCol w:w="3768"/>
        <w:gridCol w:w="3768"/>
        <w:gridCol w:w="3768"/>
        <w:gridCol w:w="3768"/>
        <w:gridCol w:w="3768"/>
      </w:tblGrid>
      <w:tr>
        <w:trPr>
          <w:tblHeader w:val="true"/>
        </w:trPr>
        <w:tc>
          <w:tcPr>
            <w:tcW w:type="dxa" w:w="3768"/>
            <w:shd w:fill="1F4E78"/>
          </w:tcPr>
          <w:p>
            <w:r>
              <w:rPr>
                <w:b/>
                <w:color w:val="FFFFFF"/>
                <w:sz w:val="13"/>
              </w:rPr>
              <w:t>Employee ID</w:t>
            </w:r>
          </w:p>
        </w:tc>
        <w:tc>
          <w:tcPr>
            <w:tcW w:type="dxa" w:w="3768"/>
            <w:shd w:fill="1F4E78"/>
          </w:tcPr>
          <w:p>
            <w:r>
              <w:rPr>
                <w:b/>
                <w:color w:val="FFFFFF"/>
                <w:sz w:val="13"/>
              </w:rPr>
              <w:t>Full Name</w:t>
            </w:r>
          </w:p>
        </w:tc>
        <w:tc>
          <w:tcPr>
            <w:tcW w:type="dxa" w:w="3768"/>
            <w:shd w:fill="1F4E78"/>
          </w:tcPr>
          <w:p>
            <w:r>
              <w:rPr>
                <w:b/>
                <w:color w:val="FFFFFF"/>
                <w:sz w:val="13"/>
              </w:rPr>
              <w:t>Security / Authorization Rule</w:t>
            </w:r>
          </w:p>
        </w:tc>
        <w:tc>
          <w:tcPr>
            <w:tcW w:type="dxa" w:w="3768"/>
            <w:shd w:fill="1F4E78"/>
          </w:tcPr>
          <w:p>
            <w:r>
              <w:rPr>
                <w:b/>
                <w:color w:val="FFFFFF"/>
                <w:sz w:val="13"/>
              </w:rPr>
              <w:t>Example Allowed Voice Commands</w:t>
            </w:r>
          </w:p>
        </w:tc>
        <w:tc>
          <w:tcPr>
            <w:tcW w:type="dxa" w:w="3768"/>
            <w:shd w:fill="1F4E78"/>
          </w:tcPr>
          <w:p>
            <w:r>
              <w:rPr>
                <w:b/>
                <w:color w:val="FFFFFF"/>
                <w:sz w:val="13"/>
              </w:rPr>
              <w:t>Example Denied Voice Commands</w:t>
            </w:r>
          </w:p>
        </w:tc>
        <w:tc>
          <w:tcPr>
            <w:tcW w:type="dxa" w:w="3768"/>
            <w:shd w:fill="1F4E78"/>
          </w:tcPr>
          <w:p>
            <w:r>
              <w:rPr>
                <w:b/>
                <w:color w:val="FFFFFF"/>
                <w:sz w:val="13"/>
              </w:rPr>
              <w:t>Recent Director Activity</w:t>
            </w:r>
          </w:p>
        </w:tc>
      </w:tr>
      <w:tr>
        <w:tc>
          <w:tcPr>
            <w:tcW w:type="dxa" w:w="3768"/>
            <w:vAlign w:val="top"/>
          </w:tcPr>
          <w:p>
            <w:pPr>
              <w:spacing w:after="0" w:line="182" w:lineRule="auto"/>
            </w:pPr>
            <w:r>
              <w:rPr>
                <w:sz w:val="13"/>
              </w:rPr>
              <w:t>EMP-3001</w:t>
            </w:r>
          </w:p>
        </w:tc>
        <w:tc>
          <w:tcPr>
            <w:tcW w:type="dxa" w:w="3768"/>
            <w:vAlign w:val="top"/>
          </w:tcPr>
          <w:p>
            <w:pPr>
              <w:spacing w:after="0" w:line="182" w:lineRule="auto"/>
            </w:pPr>
            <w:r>
              <w:rPr>
                <w:sz w:val="13"/>
              </w:rPr>
              <w:t>Vikram Malhotra</w:t>
            </w:r>
          </w:p>
        </w:tc>
        <w:tc>
          <w:tcPr>
            <w:tcW w:type="dxa" w:w="3768"/>
            <w:vAlign w:val="top"/>
          </w:tcPr>
          <w:p>
            <w:pPr>
              <w:spacing w:after="0" w:line="182" w:lineRule="auto"/>
            </w:pPr>
            <w:r>
              <w:rPr>
                <w:sz w:val="13"/>
              </w:rPr>
              <w:t>Every protected Director-level voice request must pass required deepfake/authenticity checks, speaker verification, agent authentication, L4 permission, exact resource scope, parameter-integrity checks and a valid short-lived authorization. Director status never bypasses mandatory security controls.</w:t>
            </w:r>
          </w:p>
        </w:tc>
        <w:tc>
          <w:tcPr>
            <w:tcW w:type="dxa" w:w="3768"/>
            <w:vAlign w:val="top"/>
          </w:tcPr>
          <w:p>
            <w:pPr>
              <w:spacing w:after="0" w:line="182" w:lineRule="auto"/>
            </w:pPr>
            <w:r>
              <w:rPr>
                <w:sz w:val="13"/>
              </w:rPr>
              <w:t>Approve Priya's eligible resource reassignment; move approved capacity between engineering teams; approve an eligible engineering project; show department performance summary.</w:t>
            </w:r>
          </w:p>
        </w:tc>
        <w:tc>
          <w:tcPr>
            <w:tcW w:type="dxa" w:w="3768"/>
            <w:vAlign w:val="top"/>
          </w:tcPr>
          <w:p>
            <w:pPr>
              <w:spacing w:after="0" w:line="182" w:lineRule="auto"/>
            </w:pPr>
            <w:r>
              <w:rPr>
                <w:sz w:val="13"/>
              </w:rPr>
              <w:t>Give me unrestricted administrator access; disable speaker verification; delete yesterday's security audit; promote me to COO; reveal signing keys.</w:t>
            </w:r>
          </w:p>
        </w:tc>
        <w:tc>
          <w:tcPr>
            <w:tcW w:type="dxa" w:w="3768"/>
            <w:vAlign w:val="top"/>
          </w:tcPr>
          <w:p>
            <w:pPr>
              <w:spacing w:after="0" w:line="182" w:lineRule="auto"/>
            </w:pPr>
            <w:r>
              <w:rPr>
                <w:sz w:val="13"/>
              </w:rPr>
              <w:t>01 Oct 2026 - approved resource shift; 03 Oct - reviewed architecture risk; 06 Oct - approved eligible promotion; 09 Oct - escalated headcount request; 12 Oct - reviewed manager calibration; 14 Oct - approved project portfolio change.</w:t>
            </w:r>
          </w:p>
        </w:tc>
      </w:tr>
      <w:tr>
        <w:tc>
          <w:tcPr>
            <w:tcW w:type="dxa" w:w="3768"/>
            <w:vAlign w:val="top"/>
          </w:tcPr>
          <w:p>
            <w:pPr>
              <w:spacing w:after="0" w:line="182" w:lineRule="auto"/>
            </w:pPr>
            <w:r>
              <w:rPr>
                <w:sz w:val="13"/>
              </w:rPr>
              <w:t>EMP-3002</w:t>
            </w:r>
          </w:p>
        </w:tc>
        <w:tc>
          <w:tcPr>
            <w:tcW w:type="dxa" w:w="3768"/>
            <w:vAlign w:val="top"/>
          </w:tcPr>
          <w:p>
            <w:pPr>
              <w:spacing w:after="0" w:line="182" w:lineRule="auto"/>
            </w:pPr>
            <w:r>
              <w:rPr>
                <w:sz w:val="13"/>
              </w:rPr>
              <w:t>Karan Bhatia</w:t>
            </w:r>
          </w:p>
        </w:tc>
        <w:tc>
          <w:tcPr>
            <w:tcW w:type="dxa" w:w="3768"/>
            <w:vAlign w:val="top"/>
          </w:tcPr>
          <w:p>
            <w:pPr>
              <w:spacing w:after="0" w:line="182" w:lineRule="auto"/>
            </w:pPr>
            <w:r>
              <w:rPr>
                <w:sz w:val="13"/>
              </w:rPr>
              <w:t>Every protected Director-level voice request must pass required deepfake/authenticity checks, speaker verification, agent authentication, L4 permission, exact resource scope, parameter-integrity checks and a valid short-lived authorization. Director status never bypasses mandatory security controls.</w:t>
            </w:r>
          </w:p>
        </w:tc>
        <w:tc>
          <w:tcPr>
            <w:tcW w:type="dxa" w:w="3768"/>
            <w:vAlign w:val="top"/>
          </w:tcPr>
          <w:p>
            <w:pPr>
              <w:spacing w:after="0" w:line="182" w:lineRule="auto"/>
            </w:pPr>
            <w:r>
              <w:rPr>
                <w:sz w:val="13"/>
              </w:rPr>
              <w:t>Approve an eligible product initiative; approve selected manager request; move approved analytics capacity; show portfolio allocation.</w:t>
            </w:r>
          </w:p>
        </w:tc>
        <w:tc>
          <w:tcPr>
            <w:tcW w:type="dxa" w:w="3768"/>
            <w:vAlign w:val="top"/>
          </w:tcPr>
          <w:p>
            <w:pPr>
              <w:spacing w:after="0" w:line="182" w:lineRule="auto"/>
            </w:pPr>
            <w:r>
              <w:rPr>
                <w:sz w:val="13"/>
              </w:rPr>
              <w:t>Make me COO; show all employee salaries; bypass customer-data approval; delete authorization logs; disable speaker verification.</w:t>
            </w:r>
          </w:p>
        </w:tc>
        <w:tc>
          <w:tcPr>
            <w:tcW w:type="dxa" w:w="3768"/>
            <w:vAlign w:val="top"/>
          </w:tcPr>
          <w:p>
            <w:pPr>
              <w:spacing w:after="0" w:line="182" w:lineRule="auto"/>
            </w:pPr>
            <w:r>
              <w:rPr>
                <w:sz w:val="13"/>
              </w:rPr>
              <w:t>02 Oct - reprioritized portfolio; 05 Oct - approved eligible promotion; 07 Oct - reviewed customer-data risk; 10 Oct - approved resource move; 12 Oct - escalated budget request; 14 Oct - reviewed manager calibration.</w:t>
            </w:r>
          </w:p>
        </w:tc>
      </w:tr>
      <w:tr>
        <w:tc>
          <w:tcPr>
            <w:tcW w:type="dxa" w:w="3768"/>
            <w:vAlign w:val="top"/>
          </w:tcPr>
          <w:p>
            <w:pPr>
              <w:spacing w:after="0" w:line="182" w:lineRule="auto"/>
            </w:pPr>
            <w:r>
              <w:rPr>
                <w:sz w:val="13"/>
              </w:rPr>
              <w:t>EMP-3003</w:t>
            </w:r>
          </w:p>
        </w:tc>
        <w:tc>
          <w:tcPr>
            <w:tcW w:type="dxa" w:w="3768"/>
            <w:vAlign w:val="top"/>
          </w:tcPr>
          <w:p>
            <w:pPr>
              <w:spacing w:after="0" w:line="182" w:lineRule="auto"/>
            </w:pPr>
            <w:r>
              <w:rPr>
                <w:sz w:val="13"/>
              </w:rPr>
              <w:t>Nisha Gupta</w:t>
            </w:r>
          </w:p>
        </w:tc>
        <w:tc>
          <w:tcPr>
            <w:tcW w:type="dxa" w:w="3768"/>
            <w:vAlign w:val="top"/>
          </w:tcPr>
          <w:p>
            <w:pPr>
              <w:spacing w:after="0" w:line="182" w:lineRule="auto"/>
            </w:pPr>
            <w:r>
              <w:rPr>
                <w:sz w:val="13"/>
              </w:rPr>
              <w:t>Every protected Director-level voice request must pass required deepfake/authenticity checks, speaker verification, agent authentication, L4 permission, exact resource scope, parameter-integrity checks and a valid short-lived authorization. Director status never bypasses mandatory security controls.</w:t>
            </w:r>
          </w:p>
        </w:tc>
        <w:tc>
          <w:tcPr>
            <w:tcW w:type="dxa" w:w="3768"/>
            <w:vAlign w:val="top"/>
          </w:tcPr>
          <w:p>
            <w:pPr>
              <w:spacing w:after="0" w:line="182" w:lineRule="auto"/>
            </w:pPr>
            <w:r>
              <w:rPr>
                <w:sz w:val="13"/>
              </w:rPr>
              <w:t>Review pending promotion workflow; approve an eligible transfer with completed approvals; show workforce summary; review HR program status.</w:t>
            </w:r>
          </w:p>
        </w:tc>
        <w:tc>
          <w:tcPr>
            <w:tcW w:type="dxa" w:w="3768"/>
            <w:vAlign w:val="top"/>
          </w:tcPr>
          <w:p>
            <w:pPr>
              <w:spacing w:after="0" w:line="182" w:lineRule="auto"/>
            </w:pPr>
            <w:r>
              <w:rPr>
                <w:sz w:val="13"/>
              </w:rPr>
              <w:t>Delete the audit trail for a termination; promote me to executive; reveal security private keys; bypass manager approval; disable verification.</w:t>
            </w:r>
          </w:p>
        </w:tc>
        <w:tc>
          <w:tcPr>
            <w:tcW w:type="dxa" w:w="3768"/>
            <w:vAlign w:val="top"/>
          </w:tcPr>
          <w:p>
            <w:pPr>
              <w:spacing w:after="0" w:line="182" w:lineRule="auto"/>
            </w:pPr>
            <w:r>
              <w:rPr>
                <w:sz w:val="13"/>
              </w:rPr>
              <w:t>01 Oct - reviewed workforce plan; 04 Oct - approved eligible transfer; 06 Oct - reviewed promotion packet; 09 Oct - escalated sensitive case; 11 Oct - approved HR program milestone; 14 Oct - reviewed manager calibration.</w:t>
            </w:r>
          </w:p>
        </w:tc>
      </w:tr>
      <w:tr>
        <w:tc>
          <w:tcPr>
            <w:tcW w:type="dxa" w:w="3768"/>
            <w:vAlign w:val="top"/>
          </w:tcPr>
          <w:p>
            <w:pPr>
              <w:spacing w:after="0" w:line="182" w:lineRule="auto"/>
            </w:pPr>
            <w:r>
              <w:rPr>
                <w:sz w:val="13"/>
              </w:rPr>
              <w:t>EMP-3004</w:t>
            </w:r>
          </w:p>
        </w:tc>
        <w:tc>
          <w:tcPr>
            <w:tcW w:type="dxa" w:w="3768"/>
            <w:vAlign w:val="top"/>
          </w:tcPr>
          <w:p>
            <w:pPr>
              <w:spacing w:after="0" w:line="182" w:lineRule="auto"/>
            </w:pPr>
            <w:r>
              <w:rPr>
                <w:sz w:val="13"/>
              </w:rPr>
              <w:t>Sameer Kulkarni</w:t>
            </w:r>
          </w:p>
        </w:tc>
        <w:tc>
          <w:tcPr>
            <w:tcW w:type="dxa" w:w="3768"/>
            <w:vAlign w:val="top"/>
          </w:tcPr>
          <w:p>
            <w:pPr>
              <w:spacing w:after="0" w:line="182" w:lineRule="auto"/>
            </w:pPr>
            <w:r>
              <w:rPr>
                <w:sz w:val="13"/>
              </w:rPr>
              <w:t>Every protected Director-level voice request must pass required deepfake/authenticity checks, speaker verification, agent authentication, L4 permission, exact resource scope, parameter-integrity checks and a valid short-lived authorization. Director status never bypasses mandatory security controls.</w:t>
            </w:r>
          </w:p>
        </w:tc>
        <w:tc>
          <w:tcPr>
            <w:tcW w:type="dxa" w:w="3768"/>
            <w:vAlign w:val="top"/>
          </w:tcPr>
          <w:p>
            <w:pPr>
              <w:spacing w:after="0" w:line="182" w:lineRule="auto"/>
            </w:pPr>
            <w:r>
              <w:rPr>
                <w:sz w:val="13"/>
              </w:rPr>
              <w:t>Approve an eligible operations resource change; show service performance; approve selected transfer; reprioritize an approved program.</w:t>
            </w:r>
          </w:p>
        </w:tc>
        <w:tc>
          <w:tcPr>
            <w:tcW w:type="dxa" w:w="3768"/>
            <w:vAlign w:val="top"/>
          </w:tcPr>
          <w:p>
            <w:pPr>
              <w:spacing w:after="0" w:line="182" w:lineRule="auto"/>
            </w:pPr>
            <w:r>
              <w:rPr>
                <w:sz w:val="13"/>
              </w:rPr>
              <w:t>Make me system administrator; delete audit records; bypass finance approval; promote me to COO; disable verification.</w:t>
            </w:r>
          </w:p>
        </w:tc>
        <w:tc>
          <w:tcPr>
            <w:tcW w:type="dxa" w:w="3768"/>
            <w:vAlign w:val="top"/>
          </w:tcPr>
          <w:p>
            <w:pPr>
              <w:spacing w:after="0" w:line="182" w:lineRule="auto"/>
            </w:pPr>
            <w:r>
              <w:rPr>
                <w:sz w:val="13"/>
              </w:rPr>
              <w:t>02 Oct - approved resource change; 05 Oct - reviewed service KPI; 08 Oct - approved eligible transfer; 10 Oct - escalated vendor spend; 12 Oct - reviewed continuity risk; 14 Oct - reprioritized program.</w:t>
            </w:r>
          </w:p>
        </w:tc>
      </w:tr>
      <w:tr>
        <w:tc>
          <w:tcPr>
            <w:tcW w:type="dxa" w:w="3768"/>
            <w:vAlign w:val="top"/>
          </w:tcPr>
          <w:p>
            <w:pPr>
              <w:spacing w:after="0" w:line="182" w:lineRule="auto"/>
            </w:pPr>
            <w:r>
              <w:rPr>
                <w:sz w:val="13"/>
              </w:rPr>
              <w:t>EMP-3005</w:t>
            </w:r>
          </w:p>
        </w:tc>
        <w:tc>
          <w:tcPr>
            <w:tcW w:type="dxa" w:w="3768"/>
            <w:vAlign w:val="top"/>
          </w:tcPr>
          <w:p>
            <w:pPr>
              <w:spacing w:after="0" w:line="182" w:lineRule="auto"/>
            </w:pPr>
            <w:r>
              <w:rPr>
                <w:sz w:val="13"/>
              </w:rPr>
              <w:t>Maya Krishnan</w:t>
            </w:r>
          </w:p>
        </w:tc>
        <w:tc>
          <w:tcPr>
            <w:tcW w:type="dxa" w:w="3768"/>
            <w:vAlign w:val="top"/>
          </w:tcPr>
          <w:p>
            <w:pPr>
              <w:spacing w:after="0" w:line="182" w:lineRule="auto"/>
            </w:pPr>
            <w:r>
              <w:rPr>
                <w:sz w:val="13"/>
              </w:rPr>
              <w:t>Every protected Director-level voice request must pass required deepfake/authenticity checks, speaker verification, agent authentication, L4 permission, exact resource scope, parameter-integrity checks and a valid short-lived authorization. Director status never bypasses mandatory security controls.</w:t>
            </w:r>
          </w:p>
        </w:tc>
        <w:tc>
          <w:tcPr>
            <w:tcW w:type="dxa" w:w="3768"/>
            <w:vAlign w:val="top"/>
          </w:tcPr>
          <w:p>
            <w:pPr>
              <w:spacing w:after="0" w:line="182" w:lineRule="auto"/>
            </w:pPr>
            <w:r>
              <w:rPr>
                <w:sz w:val="13"/>
              </w:rPr>
              <w:t>Review today's authorization summary; approve an eligible scoped access request; assign remediation owner; show security risk dashboard.</w:t>
            </w:r>
          </w:p>
        </w:tc>
        <w:tc>
          <w:tcPr>
            <w:tcW w:type="dxa" w:w="3768"/>
            <w:vAlign w:val="top"/>
          </w:tcPr>
          <w:p>
            <w:pPr>
              <w:spacing w:after="0" w:line="182" w:lineRule="auto"/>
            </w:pPr>
            <w:r>
              <w:rPr>
                <w:sz w:val="13"/>
              </w:rPr>
              <w:t>Reveal the agent private key; delete failed authorization logs; disable my speaker verification; give me unrestricted super-admin; alter signed audit evidence.</w:t>
            </w:r>
          </w:p>
        </w:tc>
        <w:tc>
          <w:tcPr>
            <w:tcW w:type="dxa" w:w="3768"/>
            <w:vAlign w:val="top"/>
          </w:tcPr>
          <w:p>
            <w:pPr>
              <w:spacing w:after="0" w:line="182" w:lineRule="auto"/>
            </w:pPr>
            <w:r>
              <w:rPr>
                <w:sz w:val="13"/>
              </w:rPr>
              <w:t>01 Oct - reviewed access-risk report; 04 Oct - approved scoped request; 07 Oct - ran incident readiness review; 09 Oct - escalated risk acceptance; 12 Oct - reviewed audit evidence; 14 Oct - assigned remediation ownership.</w:t>
            </w:r>
          </w:p>
        </w:tc>
      </w:tr>
    </w:tbl>
    <w:p>
      <w:pPr>
        <w:pStyle w:val="Heading1"/>
      </w:pPr>
      <w:r>
        <w:t>L4 Director / Senior Manager Voice Queries Supported</w:t>
      </w:r>
    </w:p>
    <w:p>
      <w:pPr>
        <w:pStyle w:val="ListBullet"/>
      </w:pPr>
      <w:r>
        <w:t>Give me my complete Director profile and career progression.</w:t>
      </w:r>
    </w:p>
    <w:p>
      <w:pPr>
        <w:pStyle w:val="ListBullet"/>
      </w:pPr>
      <w:r>
        <w:t>Which managers, teams and functions fall under my organizational span?</w:t>
      </w:r>
    </w:p>
    <w:p>
      <w:pPr>
        <w:pStyle w:val="ListBullet"/>
      </w:pPr>
      <w:r>
        <w:t>What organizations and roles did I work in before becoming a Director?</w:t>
      </w:r>
    </w:p>
    <w:p>
      <w:pPr>
        <w:pStyle w:val="ListBullet"/>
      </w:pPr>
      <w:r>
        <w:t>What major programs have I led previously and what strategic programs do I own now?</w:t>
      </w:r>
    </w:p>
    <w:p>
      <w:pPr>
        <w:pStyle w:val="ListBullet"/>
      </w:pPr>
      <w:r>
        <w:t>What budget, headcount, hiring and performance authority do I have?</w:t>
      </w:r>
    </w:p>
    <w:p>
      <w:pPr>
        <w:pStyle w:val="ListBullet"/>
      </w:pPr>
      <w:r>
        <w:t>Which promotions and transfers can I approve, and which require executive or HR approval?</w:t>
      </w:r>
    </w:p>
    <w:p>
      <w:pPr>
        <w:pStyle w:val="ListBullet"/>
      </w:pPr>
      <w:r>
        <w:t>What organizational or project changes can I authorize by voice?</w:t>
      </w:r>
    </w:p>
    <w:p>
      <w:pPr>
        <w:pStyle w:val="ListBullet"/>
      </w:pPr>
      <w:r>
        <w:t>What information can I see across my department?</w:t>
      </w:r>
    </w:p>
    <w:p>
      <w:pPr>
        <w:pStyle w:val="ListBullet"/>
      </w:pPr>
      <w:r>
        <w:t>What are my cross-department limits?</w:t>
      </w:r>
    </w:p>
    <w:p>
      <w:pPr>
        <w:pStyle w:val="ListBullet"/>
      </w:pPr>
      <w:r>
        <w:t>What governance and risk responsibilities belong to my role?</w:t>
      </w:r>
    </w:p>
    <w:p>
      <w:pPr>
        <w:pStyle w:val="ListBullet"/>
      </w:pPr>
      <w:r>
        <w:t>Which high-risk actions require step-up confirmation or another approver?</w:t>
      </w:r>
    </w:p>
    <w:p>
      <w:pPr>
        <w:pStyle w:val="ListBullet"/>
      </w:pPr>
      <w:r>
        <w:t>Can I disable IntentLock, delete audit history, expose secrets or increase my own authority?</w:t>
      </w:r>
    </w:p>
    <w:p>
      <w:pPr>
        <w:pStyle w:val="ListBullet"/>
      </w:pPr>
      <w:r>
        <w:t>Show my recent Director-level approvals and security activity.</w:t>
      </w:r>
    </w:p>
    <w:p>
      <w:pPr>
        <w:pStyle w:val="Heading1"/>
      </w:pPr>
      <w:r>
        <w:t>Implementation Note</w:t>
      </w:r>
    </w:p>
    <w:p>
      <w:r>
        <w:t>Normalize this master dataset into employees, reporting_relationships, employment_history, organizational_units, management_scope, strategic_programs, project_portfolios, budget_authority, headcount_authority, approval_rules, resource_scopes, governance_responsibilities, risk_domains, access_requests and audit_events. L4 authority must be evaluated against exact department, resource, action and approval dependencies; never implement it as a simple 'director = allow all' rule.</w:t>
      </w:r>
    </w:p>
    <w:sectPr w:rsidR="00FC693F" w:rsidRPr="0006063C" w:rsidSect="00034616">
      <w:pgSz w:w="23760" w:h="16848"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