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4FF" w:rsidRPr="009E515D" w:rsidRDefault="00B81099" w:rsidP="00A474FF">
      <w:pPr>
        <w:pStyle w:val="Default"/>
        <w:rPr>
          <w:rFonts w:ascii="Times New Roman" w:hAnsi="Times New Roman" w:cs="Times New Roman"/>
        </w:rPr>
      </w:pPr>
      <w:r w:rsidRPr="009E515D">
        <w:rPr>
          <w:rFonts w:ascii="Times New Roman" w:hAnsi="Times New Roman" w:cs="Times New Roman"/>
          <w:b/>
        </w:rPr>
        <w:t>AIM: -</w:t>
      </w:r>
      <w:r w:rsidRPr="009E515D">
        <w:rPr>
          <w:rFonts w:ascii="Times New Roman" w:hAnsi="Times New Roman" w:cs="Times New Roman"/>
        </w:rPr>
        <w:t xml:space="preserve"> </w:t>
      </w:r>
    </w:p>
    <w:p w:rsidR="00AE2EAF" w:rsidRPr="009E515D" w:rsidRDefault="00A474FF" w:rsidP="00A474FF">
      <w:pPr>
        <w:pStyle w:val="Default"/>
        <w:rPr>
          <w:rFonts w:ascii="Times New Roman" w:hAnsi="Times New Roman" w:cs="Times New Roman"/>
          <w:sz w:val="22"/>
          <w:szCs w:val="22"/>
        </w:rPr>
      </w:pPr>
      <w:r w:rsidRPr="009E515D">
        <w:rPr>
          <w:rFonts w:ascii="Times New Roman" w:hAnsi="Times New Roman" w:cs="Times New Roman"/>
          <w:sz w:val="23"/>
          <w:szCs w:val="23"/>
        </w:rPr>
        <w:t>Predict the interest rate on the loan given pertaining parameters related to loan. Build machine learning/statistical models in R to predict the interest rate assigned to a loan.</w:t>
      </w:r>
    </w:p>
    <w:p w:rsidR="00B81099" w:rsidRPr="009E515D" w:rsidRDefault="00B81099" w:rsidP="00B81099">
      <w:pPr>
        <w:pStyle w:val="Default"/>
        <w:rPr>
          <w:rFonts w:ascii="Times New Roman" w:hAnsi="Times New Roman" w:cs="Times New Roman"/>
          <w:sz w:val="22"/>
          <w:szCs w:val="22"/>
        </w:rPr>
      </w:pPr>
    </w:p>
    <w:p w:rsidR="00B81099" w:rsidRPr="009E515D" w:rsidRDefault="00B81099" w:rsidP="00B81099">
      <w:pPr>
        <w:pStyle w:val="Default"/>
        <w:rPr>
          <w:rFonts w:ascii="Times New Roman" w:hAnsi="Times New Roman" w:cs="Times New Roman"/>
        </w:rPr>
      </w:pPr>
      <w:r w:rsidRPr="009E515D">
        <w:rPr>
          <w:rFonts w:ascii="Times New Roman" w:hAnsi="Times New Roman" w:cs="Times New Roman"/>
          <w:b/>
        </w:rPr>
        <w:t>INSIGHTS: -</w:t>
      </w:r>
      <w:r w:rsidRPr="009E515D">
        <w:rPr>
          <w:rFonts w:ascii="Times New Roman" w:hAnsi="Times New Roman" w:cs="Times New Roman"/>
        </w:rPr>
        <w:t xml:space="preserve"> </w:t>
      </w:r>
    </w:p>
    <w:p w:rsidR="00BD0290" w:rsidRPr="009E515D" w:rsidRDefault="00BD0290" w:rsidP="00BD0290">
      <w:pPr>
        <w:pStyle w:val="Default"/>
        <w:numPr>
          <w:ilvl w:val="0"/>
          <w:numId w:val="2"/>
        </w:numPr>
        <w:rPr>
          <w:rFonts w:ascii="Times New Roman" w:hAnsi="Times New Roman" w:cs="Times New Roman"/>
          <w:b/>
          <w:sz w:val="40"/>
          <w:szCs w:val="40"/>
        </w:rPr>
      </w:pPr>
      <w:r w:rsidRPr="009E515D">
        <w:rPr>
          <w:rFonts w:ascii="Times New Roman" w:hAnsi="Times New Roman" w:cs="Times New Roman"/>
          <w:b/>
          <w:sz w:val="40"/>
          <w:szCs w:val="40"/>
        </w:rPr>
        <w:t xml:space="preserve">Following is the correlation </w:t>
      </w:r>
      <w:r w:rsidR="00E91A64" w:rsidRPr="009E515D">
        <w:rPr>
          <w:rFonts w:ascii="Times New Roman" w:hAnsi="Times New Roman" w:cs="Times New Roman"/>
          <w:b/>
          <w:sz w:val="40"/>
          <w:szCs w:val="40"/>
        </w:rPr>
        <w:t>plot.</w:t>
      </w:r>
    </w:p>
    <w:p w:rsidR="00BD0290" w:rsidRDefault="00A474FF" w:rsidP="00BD0290">
      <w:pPr>
        <w:pStyle w:val="Default"/>
      </w:pPr>
      <w:r w:rsidRPr="00A474FF">
        <w:rPr>
          <w:noProof/>
        </w:rPr>
        <w:drawing>
          <wp:inline distT="0" distB="0" distL="0" distR="0">
            <wp:extent cx="5943600" cy="4245429"/>
            <wp:effectExtent l="0" t="0" r="0" b="3175"/>
            <wp:docPr id="4" name="Picture 4" descr="E:\R\Major 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Major Project\R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91CA7" w:rsidRDefault="00891CA7" w:rsidP="00BD0290">
      <w:pPr>
        <w:pStyle w:val="Default"/>
      </w:pPr>
    </w:p>
    <w:p w:rsidR="00BD0290" w:rsidRPr="009E515D" w:rsidRDefault="00E332AD" w:rsidP="00453320">
      <w:pPr>
        <w:pStyle w:val="NormalWeb"/>
        <w:numPr>
          <w:ilvl w:val="0"/>
          <w:numId w:val="4"/>
        </w:numPr>
        <w:shd w:val="clear" w:color="auto" w:fill="FFFFFF"/>
        <w:spacing w:before="0" w:beforeAutospacing="0" w:after="150" w:afterAutospacing="0" w:line="300" w:lineRule="atLeast"/>
        <w:rPr>
          <w:color w:val="333333"/>
          <w:sz w:val="21"/>
          <w:szCs w:val="21"/>
        </w:rPr>
      </w:pPr>
      <w:r w:rsidRPr="009E515D">
        <w:t>Data which is highly correlated provides same information to the model while inflating data accuracy. Hence it is very important to remove highly correlated data</w:t>
      </w:r>
      <w:r w:rsidR="00BD0290" w:rsidRPr="009E515D">
        <w:rPr>
          <w:color w:val="333333"/>
          <w:sz w:val="21"/>
          <w:szCs w:val="21"/>
        </w:rPr>
        <w:t xml:space="preserve">. </w:t>
      </w:r>
    </w:p>
    <w:p w:rsidR="009C34B2" w:rsidRPr="009E515D" w:rsidRDefault="00E332AD" w:rsidP="009E515D">
      <w:pPr>
        <w:pStyle w:val="NormalWeb"/>
        <w:numPr>
          <w:ilvl w:val="0"/>
          <w:numId w:val="4"/>
        </w:numPr>
        <w:shd w:val="clear" w:color="auto" w:fill="FFFFFF"/>
        <w:spacing w:before="0" w:beforeAutospacing="0" w:after="150" w:afterAutospacing="0" w:line="300" w:lineRule="atLeast"/>
        <w:rPr>
          <w:color w:val="333333"/>
          <w:sz w:val="21"/>
          <w:szCs w:val="21"/>
        </w:rPr>
      </w:pPr>
      <w:r w:rsidRPr="009E515D">
        <w:t xml:space="preserve">We can see that variables “X4”,”X5”, “X6” are highly correlated with each other, also “X27” &amp; “X31” </w:t>
      </w:r>
      <w:r w:rsidRPr="009E515D">
        <w:t xml:space="preserve"> and “X2”&amp; “X3”</w:t>
      </w:r>
      <w:r w:rsidRPr="009E515D">
        <w:t>are correlated to each o</w:t>
      </w:r>
      <w:r w:rsidRPr="009E515D">
        <w:t>ther. So we remove variables “X2”, “X4” and “X6</w:t>
      </w:r>
      <w:r w:rsidRPr="009E515D">
        <w:t>”</w:t>
      </w:r>
      <w:r w:rsidR="00E83830" w:rsidRPr="009E515D">
        <w:t xml:space="preserve"> and “X31”</w:t>
      </w:r>
      <w:r w:rsidR="009E515D" w:rsidRPr="009E515D">
        <w:t>.</w:t>
      </w:r>
    </w:p>
    <w:p w:rsidR="009E515D" w:rsidRPr="009E515D" w:rsidRDefault="009E515D" w:rsidP="009E515D">
      <w:pPr>
        <w:pStyle w:val="NormalWeb"/>
        <w:shd w:val="clear" w:color="auto" w:fill="FFFFFF"/>
        <w:spacing w:before="0" w:beforeAutospacing="0" w:after="150" w:afterAutospacing="0" w:line="300" w:lineRule="atLeast"/>
        <w:rPr>
          <w:rFonts w:ascii="Helvetica" w:hAnsi="Helvetica" w:cs="Helvetica"/>
          <w:color w:val="333333"/>
          <w:sz w:val="21"/>
          <w:szCs w:val="21"/>
        </w:rPr>
      </w:pPr>
    </w:p>
    <w:p w:rsidR="00F778EC" w:rsidRDefault="00F778EC" w:rsidP="00853C41">
      <w:pPr>
        <w:pStyle w:val="NormalWeb"/>
        <w:shd w:val="clear" w:color="auto" w:fill="FFFFFF"/>
        <w:spacing w:before="0" w:beforeAutospacing="0" w:after="150" w:afterAutospacing="0" w:line="300" w:lineRule="atLeast"/>
        <w:ind w:left="780"/>
        <w:rPr>
          <w:rFonts w:ascii="Helvetica" w:hAnsi="Helvetica" w:cs="Helvetica"/>
          <w:color w:val="333333"/>
          <w:sz w:val="21"/>
          <w:szCs w:val="21"/>
        </w:rPr>
      </w:pPr>
    </w:p>
    <w:p w:rsidR="00F778EC" w:rsidRDefault="00F778EC" w:rsidP="00853C41">
      <w:pPr>
        <w:pStyle w:val="NormalWeb"/>
        <w:shd w:val="clear" w:color="auto" w:fill="FFFFFF"/>
        <w:spacing w:before="0" w:beforeAutospacing="0" w:after="150" w:afterAutospacing="0" w:line="300" w:lineRule="atLeast"/>
        <w:ind w:left="780"/>
        <w:rPr>
          <w:rFonts w:ascii="Helvetica" w:hAnsi="Helvetica" w:cs="Helvetica"/>
          <w:color w:val="333333"/>
          <w:sz w:val="21"/>
          <w:szCs w:val="21"/>
        </w:rPr>
      </w:pPr>
    </w:p>
    <w:p w:rsidR="00E83830" w:rsidRPr="00BD0290" w:rsidRDefault="00E83830" w:rsidP="00853C41">
      <w:pPr>
        <w:pStyle w:val="NormalWeb"/>
        <w:shd w:val="clear" w:color="auto" w:fill="FFFFFF"/>
        <w:spacing w:before="0" w:beforeAutospacing="0" w:after="150" w:afterAutospacing="0" w:line="300" w:lineRule="atLeast"/>
        <w:ind w:left="780"/>
        <w:rPr>
          <w:rFonts w:ascii="Helvetica" w:hAnsi="Helvetica" w:cs="Helvetica"/>
          <w:color w:val="333333"/>
          <w:sz w:val="21"/>
          <w:szCs w:val="21"/>
        </w:rPr>
      </w:pPr>
    </w:p>
    <w:p w:rsidR="00E83830" w:rsidRDefault="00E83830" w:rsidP="00BD0290">
      <w:pPr>
        <w:pStyle w:val="Default"/>
        <w:ind w:left="720"/>
      </w:pPr>
    </w:p>
    <w:p w:rsidR="00E83830" w:rsidRPr="009E515D" w:rsidRDefault="00E83830" w:rsidP="00BD0290">
      <w:pPr>
        <w:pStyle w:val="Default"/>
        <w:ind w:left="720"/>
        <w:rPr>
          <w:rFonts w:ascii="Times New Roman" w:hAnsi="Times New Roman" w:cs="Times New Roman"/>
          <w:b/>
          <w:sz w:val="40"/>
          <w:szCs w:val="40"/>
        </w:rPr>
      </w:pPr>
      <w:r w:rsidRPr="009E515D">
        <w:rPr>
          <w:rFonts w:ascii="Times New Roman" w:hAnsi="Times New Roman" w:cs="Times New Roman"/>
          <w:b/>
          <w:sz w:val="40"/>
          <w:szCs w:val="40"/>
        </w:rPr>
        <w:lastRenderedPageBreak/>
        <w:t>MODEL BUILDING:-</w:t>
      </w:r>
    </w:p>
    <w:p w:rsidR="00E83830" w:rsidRPr="009E515D" w:rsidRDefault="00E83830" w:rsidP="00BD0290">
      <w:pPr>
        <w:pStyle w:val="Default"/>
        <w:ind w:left="720"/>
        <w:rPr>
          <w:rFonts w:ascii="Times New Roman" w:hAnsi="Times New Roman" w:cs="Times New Roman"/>
          <w:b/>
          <w:sz w:val="16"/>
          <w:szCs w:val="16"/>
        </w:rPr>
      </w:pPr>
    </w:p>
    <w:p w:rsidR="00E83830" w:rsidRPr="009E515D" w:rsidRDefault="00E83830" w:rsidP="00BD0290">
      <w:pPr>
        <w:pStyle w:val="Default"/>
        <w:ind w:left="720"/>
        <w:rPr>
          <w:rFonts w:ascii="Times New Roman" w:hAnsi="Times New Roman" w:cs="Times New Roman"/>
        </w:rPr>
      </w:pPr>
      <w:r w:rsidRPr="009E515D">
        <w:rPr>
          <w:rFonts w:ascii="Times New Roman" w:hAnsi="Times New Roman" w:cs="Times New Roman"/>
        </w:rPr>
        <w:t>Models used for predicting the interest rate of load data is as follows:</w:t>
      </w:r>
    </w:p>
    <w:p w:rsidR="00E83830" w:rsidRPr="009E515D" w:rsidRDefault="00E83830" w:rsidP="00E83830">
      <w:pPr>
        <w:pStyle w:val="Default"/>
        <w:numPr>
          <w:ilvl w:val="0"/>
          <w:numId w:val="7"/>
        </w:numPr>
        <w:rPr>
          <w:rFonts w:ascii="Times New Roman" w:hAnsi="Times New Roman" w:cs="Times New Roman"/>
        </w:rPr>
      </w:pPr>
      <w:r w:rsidRPr="009E515D">
        <w:rPr>
          <w:rFonts w:ascii="Times New Roman" w:hAnsi="Times New Roman" w:cs="Times New Roman"/>
        </w:rPr>
        <w:t>CART MODEL</w:t>
      </w:r>
    </w:p>
    <w:p w:rsidR="00E83830" w:rsidRPr="009E515D" w:rsidRDefault="00E83830" w:rsidP="00E83830">
      <w:pPr>
        <w:pStyle w:val="Default"/>
        <w:numPr>
          <w:ilvl w:val="0"/>
          <w:numId w:val="7"/>
        </w:numPr>
        <w:rPr>
          <w:rFonts w:ascii="Times New Roman" w:hAnsi="Times New Roman" w:cs="Times New Roman"/>
        </w:rPr>
      </w:pPr>
      <w:r w:rsidRPr="009E515D">
        <w:rPr>
          <w:rFonts w:ascii="Times New Roman" w:hAnsi="Times New Roman" w:cs="Times New Roman"/>
        </w:rPr>
        <w:t>REGRESSION TREES (</w:t>
      </w:r>
      <w:proofErr w:type="spellStart"/>
      <w:r w:rsidRPr="009E515D">
        <w:rPr>
          <w:rFonts w:ascii="Times New Roman" w:hAnsi="Times New Roman" w:cs="Times New Roman"/>
        </w:rPr>
        <w:t>Rpart</w:t>
      </w:r>
      <w:proofErr w:type="spellEnd"/>
      <w:r w:rsidRPr="009E515D">
        <w:rPr>
          <w:rFonts w:ascii="Times New Roman" w:hAnsi="Times New Roman" w:cs="Times New Roman"/>
        </w:rPr>
        <w:t>)</w:t>
      </w:r>
    </w:p>
    <w:p w:rsidR="00E83830" w:rsidRPr="009E515D" w:rsidRDefault="00E83830" w:rsidP="00BD0290">
      <w:pPr>
        <w:pStyle w:val="Default"/>
        <w:ind w:left="720"/>
        <w:rPr>
          <w:rFonts w:ascii="Times New Roman" w:hAnsi="Times New Roman" w:cs="Times New Roman"/>
        </w:rPr>
      </w:pPr>
    </w:p>
    <w:p w:rsidR="00E83830" w:rsidRPr="009E515D" w:rsidRDefault="00E83830" w:rsidP="00BD0290">
      <w:pPr>
        <w:pStyle w:val="Default"/>
        <w:ind w:left="720"/>
        <w:rPr>
          <w:rFonts w:ascii="Times New Roman" w:hAnsi="Times New Roman" w:cs="Times New Roman"/>
        </w:rPr>
      </w:pPr>
    </w:p>
    <w:p w:rsidR="00BD0290" w:rsidRPr="009E515D" w:rsidRDefault="00FB3B31" w:rsidP="00BD0290">
      <w:pPr>
        <w:pStyle w:val="Default"/>
        <w:ind w:left="720"/>
        <w:rPr>
          <w:rFonts w:ascii="Times New Roman" w:hAnsi="Times New Roman" w:cs="Times New Roman"/>
          <w:b/>
          <w:sz w:val="40"/>
          <w:szCs w:val="40"/>
        </w:rPr>
      </w:pPr>
      <w:r w:rsidRPr="009E515D">
        <w:rPr>
          <w:rFonts w:ascii="Times New Roman" w:hAnsi="Times New Roman" w:cs="Times New Roman"/>
          <w:b/>
          <w:sz w:val="40"/>
          <w:szCs w:val="40"/>
        </w:rPr>
        <w:t>CART</w:t>
      </w:r>
      <w:r w:rsidR="00F778EC" w:rsidRPr="009E515D">
        <w:rPr>
          <w:rFonts w:ascii="Times New Roman" w:hAnsi="Times New Roman" w:cs="Times New Roman"/>
          <w:b/>
          <w:sz w:val="40"/>
          <w:szCs w:val="40"/>
        </w:rPr>
        <w:t xml:space="preserve"> Model:-</w:t>
      </w:r>
    </w:p>
    <w:p w:rsidR="00F778EC" w:rsidRPr="009E515D" w:rsidRDefault="00F778EC" w:rsidP="00BD0290">
      <w:pPr>
        <w:pStyle w:val="Default"/>
        <w:ind w:left="720"/>
        <w:rPr>
          <w:rFonts w:ascii="Times New Roman" w:hAnsi="Times New Roman" w:cs="Times New Roman"/>
          <w:b/>
          <w:sz w:val="40"/>
          <w:szCs w:val="40"/>
        </w:rPr>
      </w:pPr>
    </w:p>
    <w:p w:rsidR="00F778EC" w:rsidRPr="009E515D" w:rsidRDefault="00F778EC" w:rsidP="00FB3B31">
      <w:pPr>
        <w:pStyle w:val="Default"/>
        <w:numPr>
          <w:ilvl w:val="0"/>
          <w:numId w:val="1"/>
        </w:numPr>
        <w:rPr>
          <w:rFonts w:ascii="Times New Roman" w:hAnsi="Times New Roman" w:cs="Times New Roman"/>
        </w:rPr>
      </w:pPr>
      <w:r w:rsidRPr="009E515D">
        <w:rPr>
          <w:rFonts w:ascii="Times New Roman" w:hAnsi="Times New Roman" w:cs="Times New Roman"/>
        </w:rPr>
        <w:t>The accur</w:t>
      </w:r>
      <w:r w:rsidR="00FB3B31" w:rsidRPr="009E515D">
        <w:rPr>
          <w:rFonts w:ascii="Times New Roman" w:hAnsi="Times New Roman" w:cs="Times New Roman"/>
        </w:rPr>
        <w:t>acy of CART</w:t>
      </w:r>
      <w:r w:rsidR="009E515D" w:rsidRPr="009E515D">
        <w:rPr>
          <w:rFonts w:ascii="Times New Roman" w:hAnsi="Times New Roman" w:cs="Times New Roman"/>
        </w:rPr>
        <w:t xml:space="preserve"> model is 93</w:t>
      </w:r>
      <w:r w:rsidRPr="009E515D">
        <w:rPr>
          <w:rFonts w:ascii="Times New Roman" w:hAnsi="Times New Roman" w:cs="Times New Roman"/>
        </w:rPr>
        <w:t>.74%.</w:t>
      </w:r>
    </w:p>
    <w:p w:rsidR="00FB3B31" w:rsidRPr="009E515D" w:rsidRDefault="00FB3B31" w:rsidP="00FB3B31">
      <w:pPr>
        <w:pStyle w:val="Default"/>
        <w:numPr>
          <w:ilvl w:val="0"/>
          <w:numId w:val="1"/>
        </w:numPr>
        <w:rPr>
          <w:rFonts w:ascii="Times New Roman" w:hAnsi="Times New Roman" w:cs="Times New Roman"/>
        </w:rPr>
      </w:pPr>
      <w:r w:rsidRPr="009E515D">
        <w:rPr>
          <w:rFonts w:ascii="Times New Roman" w:hAnsi="Times New Roman" w:cs="Times New Roman"/>
        </w:rPr>
        <w:t>Variable importance for CART model is as follows:</w:t>
      </w:r>
    </w:p>
    <w:tbl>
      <w:tblPr>
        <w:tblStyle w:val="TableGrid"/>
        <w:tblW w:w="0" w:type="auto"/>
        <w:tblLook w:val="04A0" w:firstRow="1" w:lastRow="0" w:firstColumn="1" w:lastColumn="0" w:noHBand="0" w:noVBand="1"/>
      </w:tblPr>
      <w:tblGrid>
        <w:gridCol w:w="1417"/>
        <w:gridCol w:w="2385"/>
        <w:gridCol w:w="1849"/>
      </w:tblGrid>
      <w:tr w:rsidR="00FB3B31" w:rsidRPr="00FB3B31" w:rsidTr="00FB3B31">
        <w:trPr>
          <w:trHeight w:val="251"/>
        </w:trPr>
        <w:tc>
          <w:tcPr>
            <w:tcW w:w="1379" w:type="dxa"/>
            <w:noWrap/>
            <w:hideMark/>
          </w:tcPr>
          <w:p w:rsidR="00FB3B31" w:rsidRPr="00FB3B31" w:rsidRDefault="00FB3B31" w:rsidP="00FB3B31">
            <w:pPr>
              <w:pStyle w:val="Default"/>
              <w:ind w:left="720"/>
            </w:pPr>
            <w:r w:rsidRPr="00FB3B31">
              <w:t>Rank</w:t>
            </w:r>
          </w:p>
        </w:tc>
        <w:tc>
          <w:tcPr>
            <w:tcW w:w="2321" w:type="dxa"/>
            <w:noWrap/>
            <w:hideMark/>
          </w:tcPr>
          <w:p w:rsidR="00FB3B31" w:rsidRPr="00FB3B31" w:rsidRDefault="00FB3B31" w:rsidP="00FB3B31">
            <w:pPr>
              <w:pStyle w:val="Default"/>
              <w:ind w:left="720"/>
            </w:pPr>
            <w:r w:rsidRPr="00FB3B31">
              <w:t>variable</w:t>
            </w:r>
          </w:p>
        </w:tc>
        <w:tc>
          <w:tcPr>
            <w:tcW w:w="1799" w:type="dxa"/>
            <w:noWrap/>
            <w:hideMark/>
          </w:tcPr>
          <w:p w:rsidR="00FB3B31" w:rsidRPr="00FB3B31" w:rsidRDefault="00FB3B31" w:rsidP="00FB3B31">
            <w:pPr>
              <w:pStyle w:val="Default"/>
              <w:ind w:left="720"/>
            </w:pPr>
            <w:r w:rsidRPr="00FB3B31">
              <w:t>Overall</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w:t>
            </w:r>
          </w:p>
        </w:tc>
        <w:tc>
          <w:tcPr>
            <w:tcW w:w="2321" w:type="dxa"/>
            <w:noWrap/>
            <w:hideMark/>
          </w:tcPr>
          <w:p w:rsidR="00FB3B31" w:rsidRPr="00FB3B31" w:rsidRDefault="00FB3B31" w:rsidP="00FB3B31">
            <w:pPr>
              <w:pStyle w:val="Default"/>
              <w:ind w:left="720"/>
            </w:pPr>
            <w:r w:rsidRPr="00FB3B31">
              <w:t>X9</w:t>
            </w:r>
          </w:p>
        </w:tc>
        <w:tc>
          <w:tcPr>
            <w:tcW w:w="1799" w:type="dxa"/>
            <w:noWrap/>
            <w:hideMark/>
          </w:tcPr>
          <w:p w:rsidR="00FB3B31" w:rsidRPr="00FB3B31" w:rsidRDefault="00FB3B31" w:rsidP="00FB3B31">
            <w:pPr>
              <w:pStyle w:val="Default"/>
              <w:ind w:left="720"/>
            </w:pPr>
            <w:r w:rsidRPr="00FB3B31">
              <w:t>3.49093</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2</w:t>
            </w:r>
          </w:p>
        </w:tc>
        <w:tc>
          <w:tcPr>
            <w:tcW w:w="2321" w:type="dxa"/>
            <w:noWrap/>
            <w:hideMark/>
          </w:tcPr>
          <w:p w:rsidR="00FB3B31" w:rsidRPr="00FB3B31" w:rsidRDefault="00FB3B31" w:rsidP="00FB3B31">
            <w:pPr>
              <w:pStyle w:val="Default"/>
              <w:ind w:left="720"/>
            </w:pPr>
            <w:r w:rsidRPr="00FB3B31">
              <w:t>X8</w:t>
            </w:r>
          </w:p>
        </w:tc>
        <w:tc>
          <w:tcPr>
            <w:tcW w:w="1799" w:type="dxa"/>
            <w:noWrap/>
            <w:hideMark/>
          </w:tcPr>
          <w:p w:rsidR="00FB3B31" w:rsidRPr="00FB3B31" w:rsidRDefault="00FB3B31" w:rsidP="00FB3B31">
            <w:pPr>
              <w:pStyle w:val="Default"/>
              <w:ind w:left="720"/>
            </w:pPr>
            <w:r w:rsidRPr="00FB3B31">
              <w:t>3.381349</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3</w:t>
            </w:r>
          </w:p>
        </w:tc>
        <w:tc>
          <w:tcPr>
            <w:tcW w:w="2321" w:type="dxa"/>
            <w:noWrap/>
            <w:hideMark/>
          </w:tcPr>
          <w:p w:rsidR="00FB3B31" w:rsidRPr="00FB3B31" w:rsidRDefault="00FB3B31" w:rsidP="00FB3B31">
            <w:pPr>
              <w:pStyle w:val="Default"/>
              <w:ind w:left="720"/>
            </w:pPr>
            <w:proofErr w:type="spellStart"/>
            <w:r w:rsidRPr="00FB3B31">
              <w:t>date_iss</w:t>
            </w:r>
            <w:proofErr w:type="spellEnd"/>
          </w:p>
        </w:tc>
        <w:tc>
          <w:tcPr>
            <w:tcW w:w="1799" w:type="dxa"/>
            <w:noWrap/>
            <w:hideMark/>
          </w:tcPr>
          <w:p w:rsidR="00FB3B31" w:rsidRPr="00FB3B31" w:rsidRDefault="00FB3B31" w:rsidP="00FB3B31">
            <w:pPr>
              <w:pStyle w:val="Default"/>
              <w:ind w:left="720"/>
            </w:pPr>
            <w:r w:rsidRPr="00FB3B31">
              <w:t>0.665197</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4</w:t>
            </w:r>
          </w:p>
        </w:tc>
        <w:tc>
          <w:tcPr>
            <w:tcW w:w="2321" w:type="dxa"/>
            <w:noWrap/>
            <w:hideMark/>
          </w:tcPr>
          <w:p w:rsidR="00FB3B31" w:rsidRPr="00FB3B31" w:rsidRDefault="00FB3B31" w:rsidP="00FB3B31">
            <w:pPr>
              <w:pStyle w:val="Default"/>
              <w:ind w:left="720"/>
            </w:pPr>
            <w:r w:rsidRPr="00FB3B31">
              <w:t>X7</w:t>
            </w:r>
          </w:p>
        </w:tc>
        <w:tc>
          <w:tcPr>
            <w:tcW w:w="1799" w:type="dxa"/>
            <w:noWrap/>
            <w:hideMark/>
          </w:tcPr>
          <w:p w:rsidR="00FB3B31" w:rsidRPr="00FB3B31" w:rsidRDefault="00FB3B31" w:rsidP="00FB3B31">
            <w:pPr>
              <w:pStyle w:val="Default"/>
              <w:ind w:left="720"/>
            </w:pPr>
            <w:r w:rsidRPr="00FB3B31">
              <w:t>0.507598</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5</w:t>
            </w:r>
          </w:p>
        </w:tc>
        <w:tc>
          <w:tcPr>
            <w:tcW w:w="2321" w:type="dxa"/>
            <w:noWrap/>
            <w:hideMark/>
          </w:tcPr>
          <w:p w:rsidR="00FB3B31" w:rsidRPr="00FB3B31" w:rsidRDefault="00FB3B31" w:rsidP="00FB3B31">
            <w:pPr>
              <w:pStyle w:val="Default"/>
              <w:ind w:left="720"/>
            </w:pPr>
            <w:r w:rsidRPr="00FB3B31">
              <w:t>X30</w:t>
            </w:r>
          </w:p>
        </w:tc>
        <w:tc>
          <w:tcPr>
            <w:tcW w:w="1799" w:type="dxa"/>
            <w:noWrap/>
            <w:hideMark/>
          </w:tcPr>
          <w:p w:rsidR="00FB3B31" w:rsidRPr="00FB3B31" w:rsidRDefault="00FB3B31" w:rsidP="00FB3B31">
            <w:pPr>
              <w:pStyle w:val="Default"/>
              <w:ind w:left="720"/>
            </w:pPr>
            <w:r w:rsidRPr="00FB3B31">
              <w:t>0.355183</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6</w:t>
            </w:r>
          </w:p>
        </w:tc>
        <w:tc>
          <w:tcPr>
            <w:tcW w:w="2321" w:type="dxa"/>
            <w:noWrap/>
            <w:hideMark/>
          </w:tcPr>
          <w:p w:rsidR="00FB3B31" w:rsidRPr="00FB3B31" w:rsidRDefault="00FB3B31" w:rsidP="00FB3B31">
            <w:pPr>
              <w:pStyle w:val="Default"/>
              <w:ind w:left="720"/>
            </w:pPr>
            <w:r w:rsidRPr="00FB3B31">
              <w:t>X14</w:t>
            </w:r>
          </w:p>
        </w:tc>
        <w:tc>
          <w:tcPr>
            <w:tcW w:w="1799" w:type="dxa"/>
            <w:noWrap/>
            <w:hideMark/>
          </w:tcPr>
          <w:p w:rsidR="00FB3B31" w:rsidRPr="00FB3B31" w:rsidRDefault="00FB3B31" w:rsidP="00FB3B31">
            <w:pPr>
              <w:pStyle w:val="Default"/>
              <w:ind w:left="720"/>
            </w:pPr>
            <w:r w:rsidRPr="00FB3B31">
              <w:t>0.116701</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7</w:t>
            </w:r>
          </w:p>
        </w:tc>
        <w:tc>
          <w:tcPr>
            <w:tcW w:w="2321" w:type="dxa"/>
            <w:noWrap/>
            <w:hideMark/>
          </w:tcPr>
          <w:p w:rsidR="00FB3B31" w:rsidRPr="00FB3B31" w:rsidRDefault="00FB3B31" w:rsidP="00FB3B31">
            <w:pPr>
              <w:pStyle w:val="Default"/>
              <w:ind w:left="720"/>
            </w:pPr>
            <w:r w:rsidRPr="00FB3B31">
              <w:t>X24</w:t>
            </w:r>
          </w:p>
        </w:tc>
        <w:tc>
          <w:tcPr>
            <w:tcW w:w="1799" w:type="dxa"/>
            <w:noWrap/>
            <w:hideMark/>
          </w:tcPr>
          <w:p w:rsidR="00FB3B31" w:rsidRPr="00FB3B31" w:rsidRDefault="00FB3B31" w:rsidP="00FB3B31">
            <w:pPr>
              <w:pStyle w:val="Default"/>
              <w:ind w:left="720"/>
            </w:pPr>
            <w:r w:rsidRPr="00FB3B31">
              <w:t>0.06027</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8</w:t>
            </w:r>
          </w:p>
        </w:tc>
        <w:tc>
          <w:tcPr>
            <w:tcW w:w="2321" w:type="dxa"/>
            <w:noWrap/>
            <w:hideMark/>
          </w:tcPr>
          <w:p w:rsidR="00FB3B31" w:rsidRPr="00FB3B31" w:rsidRDefault="00FB3B31" w:rsidP="00FB3B31">
            <w:pPr>
              <w:pStyle w:val="Default"/>
              <w:ind w:left="720"/>
            </w:pPr>
            <w:proofErr w:type="spellStart"/>
            <w:r w:rsidRPr="00FB3B31">
              <w:t>month_iss</w:t>
            </w:r>
            <w:proofErr w:type="spellEnd"/>
          </w:p>
        </w:tc>
        <w:tc>
          <w:tcPr>
            <w:tcW w:w="1799" w:type="dxa"/>
            <w:noWrap/>
            <w:hideMark/>
          </w:tcPr>
          <w:p w:rsidR="00FB3B31" w:rsidRPr="00FB3B31" w:rsidRDefault="00FB3B31" w:rsidP="00FB3B31">
            <w:pPr>
              <w:pStyle w:val="Default"/>
              <w:ind w:left="720"/>
            </w:pPr>
            <w:r w:rsidRPr="00FB3B31">
              <w:t>0.020132</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9</w:t>
            </w:r>
          </w:p>
        </w:tc>
        <w:tc>
          <w:tcPr>
            <w:tcW w:w="2321" w:type="dxa"/>
            <w:noWrap/>
            <w:hideMark/>
          </w:tcPr>
          <w:p w:rsidR="00FB3B31" w:rsidRPr="00FB3B31" w:rsidRDefault="00FB3B31" w:rsidP="00FB3B31">
            <w:pPr>
              <w:pStyle w:val="Default"/>
              <w:ind w:left="720"/>
            </w:pPr>
            <w:r w:rsidRPr="00FB3B31">
              <w:t>X6</w:t>
            </w:r>
          </w:p>
        </w:tc>
        <w:tc>
          <w:tcPr>
            <w:tcW w:w="1799" w:type="dxa"/>
            <w:noWrap/>
            <w:hideMark/>
          </w:tcPr>
          <w:p w:rsidR="00FB3B31" w:rsidRPr="00FB3B31" w:rsidRDefault="00FB3B31" w:rsidP="00FB3B31">
            <w:pPr>
              <w:pStyle w:val="Default"/>
              <w:ind w:left="720"/>
            </w:pPr>
            <w:r w:rsidRPr="00FB3B31">
              <w:t>0.012127</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10</w:t>
            </w:r>
          </w:p>
        </w:tc>
        <w:tc>
          <w:tcPr>
            <w:tcW w:w="2321" w:type="dxa"/>
            <w:noWrap/>
            <w:hideMark/>
          </w:tcPr>
          <w:p w:rsidR="00FB3B31" w:rsidRPr="00FB3B31" w:rsidRDefault="00FB3B31" w:rsidP="00FB3B31">
            <w:pPr>
              <w:pStyle w:val="Default"/>
              <w:ind w:left="720"/>
            </w:pPr>
            <w:r w:rsidRPr="00FB3B31">
              <w:t>X28</w:t>
            </w:r>
          </w:p>
        </w:tc>
        <w:tc>
          <w:tcPr>
            <w:tcW w:w="1799" w:type="dxa"/>
            <w:noWrap/>
            <w:hideMark/>
          </w:tcPr>
          <w:p w:rsidR="00FB3B31" w:rsidRPr="00FB3B31" w:rsidRDefault="00FB3B31" w:rsidP="00FB3B31">
            <w:pPr>
              <w:pStyle w:val="Default"/>
              <w:ind w:left="720"/>
            </w:pPr>
            <w:r w:rsidRPr="00FB3B31">
              <w:t>0.011219</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proofErr w:type="spellStart"/>
            <w:r w:rsidRPr="00FB3B31">
              <w:t>month_earl_cr</w:t>
            </w:r>
            <w:proofErr w:type="spellEnd"/>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X11</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X12</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X13</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X17</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X20</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X21</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X22</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X27</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X29</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X31</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251"/>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r w:rsidRPr="00FB3B31">
              <w:t>X32</w:t>
            </w:r>
          </w:p>
        </w:tc>
        <w:tc>
          <w:tcPr>
            <w:tcW w:w="1799" w:type="dxa"/>
            <w:noWrap/>
            <w:hideMark/>
          </w:tcPr>
          <w:p w:rsidR="00FB3B31" w:rsidRPr="00FB3B31" w:rsidRDefault="00FB3B31" w:rsidP="00FB3B31">
            <w:pPr>
              <w:pStyle w:val="Default"/>
              <w:ind w:left="720"/>
            </w:pPr>
            <w:r w:rsidRPr="00FB3B31">
              <w:t>0</w:t>
            </w:r>
          </w:p>
        </w:tc>
      </w:tr>
      <w:tr w:rsidR="00FB3B31" w:rsidRPr="00FB3B31" w:rsidTr="00FB3B31">
        <w:trPr>
          <w:trHeight w:val="58"/>
        </w:trPr>
        <w:tc>
          <w:tcPr>
            <w:tcW w:w="1379" w:type="dxa"/>
            <w:noWrap/>
            <w:hideMark/>
          </w:tcPr>
          <w:p w:rsidR="00FB3B31" w:rsidRPr="00FB3B31" w:rsidRDefault="00FB3B31" w:rsidP="00FB3B31">
            <w:pPr>
              <w:pStyle w:val="Default"/>
              <w:ind w:left="720"/>
            </w:pPr>
            <w:r w:rsidRPr="00FB3B31">
              <w:t>11</w:t>
            </w:r>
          </w:p>
        </w:tc>
        <w:tc>
          <w:tcPr>
            <w:tcW w:w="2321" w:type="dxa"/>
            <w:noWrap/>
            <w:hideMark/>
          </w:tcPr>
          <w:p w:rsidR="00FB3B31" w:rsidRPr="00FB3B31" w:rsidRDefault="00FB3B31" w:rsidP="00FB3B31">
            <w:pPr>
              <w:pStyle w:val="Default"/>
              <w:ind w:left="720"/>
            </w:pPr>
            <w:proofErr w:type="spellStart"/>
            <w:r w:rsidRPr="00FB3B31">
              <w:t>year_earl_cr</w:t>
            </w:r>
            <w:proofErr w:type="spellEnd"/>
          </w:p>
        </w:tc>
        <w:tc>
          <w:tcPr>
            <w:tcW w:w="1799" w:type="dxa"/>
            <w:noWrap/>
            <w:hideMark/>
          </w:tcPr>
          <w:p w:rsidR="00FB3B31" w:rsidRPr="00FB3B31" w:rsidRDefault="00FB3B31" w:rsidP="00FB3B31">
            <w:pPr>
              <w:pStyle w:val="Default"/>
              <w:ind w:left="720"/>
            </w:pPr>
            <w:r w:rsidRPr="00FB3B31">
              <w:t>0</w:t>
            </w:r>
          </w:p>
        </w:tc>
      </w:tr>
    </w:tbl>
    <w:p w:rsidR="00F778EC" w:rsidRDefault="00F778EC" w:rsidP="00F778EC">
      <w:pPr>
        <w:pStyle w:val="Default"/>
        <w:ind w:left="720"/>
      </w:pPr>
    </w:p>
    <w:p w:rsidR="00F778EC" w:rsidRDefault="00F778EC" w:rsidP="00F778EC">
      <w:pPr>
        <w:pStyle w:val="Default"/>
      </w:pPr>
      <w:r>
        <w:t xml:space="preserve">           </w:t>
      </w:r>
    </w:p>
    <w:p w:rsidR="009E515D" w:rsidRDefault="00F778EC" w:rsidP="00F778EC">
      <w:pPr>
        <w:pStyle w:val="Default"/>
        <w:numPr>
          <w:ilvl w:val="0"/>
          <w:numId w:val="2"/>
        </w:numPr>
        <w:rPr>
          <w:rFonts w:ascii="Times New Roman" w:hAnsi="Times New Roman" w:cs="Times New Roman"/>
        </w:rPr>
      </w:pPr>
      <w:r w:rsidRPr="009E515D">
        <w:rPr>
          <w:rFonts w:ascii="Times New Roman" w:hAnsi="Times New Roman" w:cs="Times New Roman"/>
        </w:rPr>
        <w:t xml:space="preserve">As from above figure we can extract that </w:t>
      </w:r>
      <w:r w:rsidR="00FB3B31" w:rsidRPr="009E515D">
        <w:rPr>
          <w:rFonts w:ascii="Times New Roman" w:hAnsi="Times New Roman" w:cs="Times New Roman"/>
        </w:rPr>
        <w:t>X9</w:t>
      </w:r>
      <w:r w:rsidRPr="009E515D">
        <w:rPr>
          <w:rFonts w:ascii="Times New Roman" w:hAnsi="Times New Roman" w:cs="Times New Roman"/>
        </w:rPr>
        <w:t xml:space="preserve"> is the factor that </w:t>
      </w:r>
      <w:r w:rsidR="00FB3B31" w:rsidRPr="009E515D">
        <w:rPr>
          <w:rFonts w:ascii="Times New Roman" w:hAnsi="Times New Roman" w:cs="Times New Roman"/>
        </w:rPr>
        <w:t>contributes most for the interest rate prediction and so on. But the data in X9 &amp; X8 is same so we have removed variable X8.</w:t>
      </w:r>
    </w:p>
    <w:p w:rsidR="009E515D" w:rsidRPr="009E515D" w:rsidRDefault="009E515D" w:rsidP="009E515D">
      <w:pPr>
        <w:pStyle w:val="Default"/>
        <w:ind w:left="720"/>
        <w:rPr>
          <w:rFonts w:ascii="Times New Roman" w:hAnsi="Times New Roman" w:cs="Times New Roman"/>
        </w:rPr>
      </w:pPr>
    </w:p>
    <w:p w:rsidR="00F778EC" w:rsidRPr="009E515D" w:rsidRDefault="009E515D" w:rsidP="009E515D">
      <w:pPr>
        <w:pStyle w:val="Default"/>
        <w:ind w:left="720"/>
        <w:rPr>
          <w:rFonts w:ascii="Times New Roman" w:hAnsi="Times New Roman" w:cs="Times New Roman"/>
        </w:rPr>
      </w:pPr>
      <w:r w:rsidRPr="009E515D">
        <w:rPr>
          <w:rFonts w:ascii="Times New Roman" w:hAnsi="Times New Roman" w:cs="Times New Roman"/>
          <w:b/>
          <w:sz w:val="40"/>
          <w:szCs w:val="40"/>
        </w:rPr>
        <w:lastRenderedPageBreak/>
        <w:t>REGRESSION</w:t>
      </w:r>
      <w:r w:rsidR="00F778EC" w:rsidRPr="009E515D">
        <w:rPr>
          <w:rFonts w:ascii="Times New Roman" w:hAnsi="Times New Roman" w:cs="Times New Roman"/>
          <w:b/>
          <w:sz w:val="40"/>
          <w:szCs w:val="40"/>
        </w:rPr>
        <w:t xml:space="preserve"> Tree Model:-</w:t>
      </w:r>
    </w:p>
    <w:p w:rsidR="009E515D" w:rsidRPr="009E515D" w:rsidRDefault="009E515D" w:rsidP="009E515D">
      <w:pPr>
        <w:pStyle w:val="Default"/>
        <w:ind w:left="720"/>
        <w:rPr>
          <w:rFonts w:ascii="Times New Roman" w:hAnsi="Times New Roman" w:cs="Times New Roman"/>
        </w:rPr>
      </w:pPr>
    </w:p>
    <w:p w:rsidR="00F778EC" w:rsidRPr="009E515D" w:rsidRDefault="00F778EC" w:rsidP="00F778EC">
      <w:pPr>
        <w:pStyle w:val="Default"/>
        <w:numPr>
          <w:ilvl w:val="0"/>
          <w:numId w:val="1"/>
        </w:numPr>
        <w:rPr>
          <w:rFonts w:ascii="Times New Roman" w:hAnsi="Times New Roman" w:cs="Times New Roman"/>
        </w:rPr>
      </w:pPr>
      <w:r w:rsidRPr="009E515D">
        <w:rPr>
          <w:rFonts w:ascii="Times New Roman" w:hAnsi="Times New Roman" w:cs="Times New Roman"/>
        </w:rPr>
        <w:t>The</w:t>
      </w:r>
      <w:r w:rsidR="009E515D" w:rsidRPr="009E515D">
        <w:rPr>
          <w:rFonts w:ascii="Times New Roman" w:hAnsi="Times New Roman" w:cs="Times New Roman"/>
        </w:rPr>
        <w:t xml:space="preserve"> accuracy using this model is 94</w:t>
      </w:r>
      <w:r w:rsidRPr="009E515D">
        <w:rPr>
          <w:rFonts w:ascii="Times New Roman" w:hAnsi="Times New Roman" w:cs="Times New Roman"/>
        </w:rPr>
        <w:t>.27%.</w:t>
      </w:r>
    </w:p>
    <w:p w:rsidR="0057058E" w:rsidRPr="009E515D" w:rsidRDefault="0057058E" w:rsidP="0057058E">
      <w:pPr>
        <w:pStyle w:val="Default"/>
        <w:numPr>
          <w:ilvl w:val="0"/>
          <w:numId w:val="1"/>
        </w:numPr>
        <w:rPr>
          <w:rFonts w:ascii="Times New Roman" w:hAnsi="Times New Roman" w:cs="Times New Roman"/>
          <w:sz w:val="22"/>
          <w:szCs w:val="22"/>
        </w:rPr>
      </w:pPr>
      <w:r w:rsidRPr="009E515D">
        <w:rPr>
          <w:rFonts w:ascii="Times New Roman" w:hAnsi="Times New Roman" w:cs="Times New Roman"/>
          <w:sz w:val="22"/>
          <w:szCs w:val="22"/>
          <w:shd w:val="clear" w:color="auto" w:fill="FFFFFF"/>
        </w:rPr>
        <w:t>Variable importance from this model is as follows:</w:t>
      </w:r>
    </w:p>
    <w:tbl>
      <w:tblPr>
        <w:tblStyle w:val="TableGrid"/>
        <w:tblW w:w="3415" w:type="dxa"/>
        <w:tblLayout w:type="fixed"/>
        <w:tblLook w:val="04A0" w:firstRow="1" w:lastRow="0" w:firstColumn="1" w:lastColumn="0" w:noHBand="0" w:noVBand="1"/>
      </w:tblPr>
      <w:tblGrid>
        <w:gridCol w:w="715"/>
        <w:gridCol w:w="1440"/>
        <w:gridCol w:w="1260"/>
      </w:tblGrid>
      <w:tr w:rsidR="009E515D" w:rsidRPr="009E515D" w:rsidTr="00EE6A82">
        <w:trPr>
          <w:trHeight w:val="290"/>
        </w:trPr>
        <w:tc>
          <w:tcPr>
            <w:tcW w:w="715"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Rank</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variable</w:t>
            </w:r>
          </w:p>
        </w:tc>
        <w:tc>
          <w:tcPr>
            <w:tcW w:w="126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Overall</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X9</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3.597165</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2</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X8</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3.488138</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3</w:t>
            </w:r>
          </w:p>
        </w:tc>
        <w:tc>
          <w:tcPr>
            <w:tcW w:w="1440" w:type="dxa"/>
          </w:tcPr>
          <w:p w:rsidR="009E515D" w:rsidRPr="009E515D" w:rsidRDefault="009E515D" w:rsidP="009E515D">
            <w:pPr>
              <w:autoSpaceDE w:val="0"/>
              <w:autoSpaceDN w:val="0"/>
              <w:adjustRightInd w:val="0"/>
              <w:rPr>
                <w:rFonts w:ascii="Calibri" w:hAnsi="Calibri" w:cs="Calibri"/>
                <w:color w:val="000000"/>
              </w:rPr>
            </w:pPr>
            <w:proofErr w:type="spellStart"/>
            <w:r w:rsidRPr="009E515D">
              <w:rPr>
                <w:rFonts w:ascii="Calibri" w:hAnsi="Calibri" w:cs="Calibri"/>
                <w:color w:val="000000"/>
              </w:rPr>
              <w:t>date_iss</w:t>
            </w:r>
            <w:proofErr w:type="spellEnd"/>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0.679095</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4</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X7</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0.474328</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5</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X30</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0.370468</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6</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X14</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0.093834</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7</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X24</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0.076829</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8</w:t>
            </w:r>
          </w:p>
        </w:tc>
        <w:tc>
          <w:tcPr>
            <w:tcW w:w="1440" w:type="dxa"/>
          </w:tcPr>
          <w:p w:rsidR="009E515D" w:rsidRPr="009E515D" w:rsidRDefault="009E515D" w:rsidP="009E515D">
            <w:pPr>
              <w:autoSpaceDE w:val="0"/>
              <w:autoSpaceDN w:val="0"/>
              <w:adjustRightInd w:val="0"/>
              <w:rPr>
                <w:rFonts w:ascii="Calibri" w:hAnsi="Calibri" w:cs="Calibri"/>
                <w:color w:val="000000"/>
              </w:rPr>
            </w:pPr>
            <w:proofErr w:type="spellStart"/>
            <w:r w:rsidRPr="009E515D">
              <w:rPr>
                <w:rFonts w:ascii="Calibri" w:hAnsi="Calibri" w:cs="Calibri"/>
                <w:color w:val="000000"/>
              </w:rPr>
              <w:t>month_iss</w:t>
            </w:r>
            <w:proofErr w:type="spellEnd"/>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0.020958</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9</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X6</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0.018653</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10</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X28</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0.017819</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X11</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X12</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X13</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X17</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X20</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X21</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X22</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X27</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X29</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X31</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r w:rsidRPr="009E515D">
              <w:rPr>
                <w:rFonts w:ascii="Calibri" w:hAnsi="Calibri" w:cs="Calibri"/>
                <w:color w:val="000000"/>
              </w:rPr>
              <w:t>X32</w:t>
            </w:r>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proofErr w:type="spellStart"/>
            <w:r w:rsidRPr="009E515D">
              <w:rPr>
                <w:rFonts w:ascii="Calibri" w:hAnsi="Calibri" w:cs="Calibri"/>
                <w:color w:val="000000"/>
              </w:rPr>
              <w:t>month_earl_cr</w:t>
            </w:r>
            <w:proofErr w:type="spellEnd"/>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r w:rsidR="009E515D" w:rsidRPr="009E515D" w:rsidTr="00EE6A82">
        <w:trPr>
          <w:trHeight w:val="290"/>
        </w:trPr>
        <w:tc>
          <w:tcPr>
            <w:tcW w:w="715"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11</w:t>
            </w:r>
          </w:p>
        </w:tc>
        <w:tc>
          <w:tcPr>
            <w:tcW w:w="1440" w:type="dxa"/>
          </w:tcPr>
          <w:p w:rsidR="009E515D" w:rsidRPr="009E515D" w:rsidRDefault="009E515D" w:rsidP="009E515D">
            <w:pPr>
              <w:autoSpaceDE w:val="0"/>
              <w:autoSpaceDN w:val="0"/>
              <w:adjustRightInd w:val="0"/>
              <w:rPr>
                <w:rFonts w:ascii="Calibri" w:hAnsi="Calibri" w:cs="Calibri"/>
                <w:color w:val="000000"/>
              </w:rPr>
            </w:pPr>
            <w:proofErr w:type="spellStart"/>
            <w:r w:rsidRPr="009E515D">
              <w:rPr>
                <w:rFonts w:ascii="Calibri" w:hAnsi="Calibri" w:cs="Calibri"/>
                <w:color w:val="000000"/>
              </w:rPr>
              <w:t>year_earl_cr</w:t>
            </w:r>
            <w:proofErr w:type="spellEnd"/>
          </w:p>
        </w:tc>
        <w:tc>
          <w:tcPr>
            <w:tcW w:w="1260" w:type="dxa"/>
          </w:tcPr>
          <w:p w:rsidR="009E515D" w:rsidRPr="009E515D" w:rsidRDefault="009E515D" w:rsidP="009E515D">
            <w:pPr>
              <w:autoSpaceDE w:val="0"/>
              <w:autoSpaceDN w:val="0"/>
              <w:adjustRightInd w:val="0"/>
              <w:jc w:val="right"/>
              <w:rPr>
                <w:rFonts w:ascii="Calibri" w:hAnsi="Calibri" w:cs="Calibri"/>
                <w:color w:val="000000"/>
              </w:rPr>
            </w:pPr>
            <w:r w:rsidRPr="009E515D">
              <w:rPr>
                <w:rFonts w:ascii="Calibri" w:hAnsi="Calibri" w:cs="Calibri"/>
                <w:color w:val="000000"/>
              </w:rPr>
              <w:t>0</w:t>
            </w:r>
          </w:p>
        </w:tc>
      </w:tr>
    </w:tbl>
    <w:p w:rsidR="00F778EC" w:rsidRDefault="00F778EC" w:rsidP="00AA046F">
      <w:pPr>
        <w:pStyle w:val="Default"/>
      </w:pPr>
    </w:p>
    <w:p w:rsidR="0057058E" w:rsidRDefault="0057058E" w:rsidP="0057058E">
      <w:pPr>
        <w:pStyle w:val="Default"/>
        <w:ind w:left="720"/>
      </w:pPr>
    </w:p>
    <w:p w:rsidR="0057058E" w:rsidRDefault="0057058E" w:rsidP="00846998">
      <w:pPr>
        <w:pStyle w:val="Default"/>
      </w:pPr>
    </w:p>
    <w:p w:rsidR="0057058E" w:rsidRDefault="00846998" w:rsidP="0057058E">
      <w:pPr>
        <w:pStyle w:val="Default"/>
        <w:ind w:left="720"/>
        <w:rPr>
          <w:rFonts w:ascii="Times New Roman" w:hAnsi="Times New Roman" w:cs="Times New Roman"/>
          <w:b/>
          <w:sz w:val="40"/>
          <w:szCs w:val="40"/>
        </w:rPr>
      </w:pPr>
      <w:r w:rsidRPr="00846998">
        <w:rPr>
          <w:rFonts w:ascii="Times New Roman" w:hAnsi="Times New Roman" w:cs="Times New Roman"/>
          <w:b/>
          <w:sz w:val="40"/>
          <w:szCs w:val="40"/>
        </w:rPr>
        <w:t>Analysis of text:</w:t>
      </w:r>
    </w:p>
    <w:p w:rsidR="00846998" w:rsidRDefault="00846998" w:rsidP="0057058E">
      <w:pPr>
        <w:pStyle w:val="Default"/>
        <w:ind w:left="720"/>
        <w:rPr>
          <w:rFonts w:ascii="Times New Roman" w:hAnsi="Times New Roman" w:cs="Times New Roman"/>
        </w:rPr>
      </w:pPr>
      <w:r>
        <w:rPr>
          <w:rFonts w:ascii="Times New Roman" w:hAnsi="Times New Roman" w:cs="Times New Roman"/>
        </w:rPr>
        <w:t>From the variable X10, X16, X17:</w:t>
      </w:r>
    </w:p>
    <w:p w:rsidR="00846998" w:rsidRDefault="00846998" w:rsidP="00846998">
      <w:pPr>
        <w:rPr>
          <w:rFonts w:ascii="Times New Roman" w:hAnsi="Times New Roman" w:cs="Times New Roman"/>
          <w:sz w:val="24"/>
          <w:szCs w:val="24"/>
        </w:rPr>
      </w:pPr>
      <w:r w:rsidRPr="00846998">
        <w:rPr>
          <w:rFonts w:ascii="Times New Roman" w:hAnsi="Times New Roman" w:cs="Times New Roman"/>
          <w:sz w:val="24"/>
          <w:szCs w:val="24"/>
        </w:rPr>
        <w:t>Finally, we analysis peoples who</w:t>
      </w:r>
      <w:r>
        <w:rPr>
          <w:rFonts w:ascii="Times New Roman" w:hAnsi="Times New Roman" w:cs="Times New Roman"/>
          <w:sz w:val="24"/>
          <w:szCs w:val="24"/>
        </w:rPr>
        <w:t xml:space="preserve"> are</w:t>
      </w:r>
      <w:r w:rsidRPr="00846998">
        <w:rPr>
          <w:rFonts w:ascii="Times New Roman" w:hAnsi="Times New Roman" w:cs="Times New Roman"/>
          <w:sz w:val="24"/>
          <w:szCs w:val="24"/>
        </w:rPr>
        <w:t xml:space="preserve"> </w:t>
      </w:r>
      <w:r w:rsidRPr="00846998">
        <w:rPr>
          <w:rFonts w:ascii="Times New Roman" w:hAnsi="Times New Roman" w:cs="Times New Roman"/>
          <w:sz w:val="24"/>
          <w:szCs w:val="24"/>
        </w:rPr>
        <w:t xml:space="preserve">taking </w:t>
      </w:r>
      <w:r>
        <w:rPr>
          <w:rFonts w:ascii="Times New Roman" w:hAnsi="Times New Roman" w:cs="Times New Roman"/>
          <w:sz w:val="24"/>
          <w:szCs w:val="24"/>
        </w:rPr>
        <w:t>loans and reason behind the</w:t>
      </w:r>
      <w:r w:rsidRPr="00846998">
        <w:rPr>
          <w:rFonts w:ascii="Times New Roman" w:hAnsi="Times New Roman" w:cs="Times New Roman"/>
          <w:sz w:val="24"/>
          <w:szCs w:val="24"/>
        </w:rPr>
        <w:t xml:space="preserve"> loans. After doing </w:t>
      </w:r>
      <w:r w:rsidR="002424B5">
        <w:rPr>
          <w:rFonts w:ascii="Times New Roman" w:hAnsi="Times New Roman" w:cs="Times New Roman"/>
          <w:sz w:val="24"/>
          <w:szCs w:val="24"/>
        </w:rPr>
        <w:t>text analysis on variables X10-Employer job title and X16-</w:t>
      </w:r>
      <w:r w:rsidRPr="00846998">
        <w:rPr>
          <w:rFonts w:ascii="Times New Roman" w:hAnsi="Times New Roman" w:cs="Times New Roman"/>
          <w:sz w:val="24"/>
          <w:szCs w:val="24"/>
        </w:rPr>
        <w:t>Reason for loan</w:t>
      </w:r>
      <w:r w:rsidR="002424B5">
        <w:rPr>
          <w:rFonts w:ascii="Times New Roman" w:hAnsi="Times New Roman" w:cs="Times New Roman"/>
          <w:sz w:val="24"/>
          <w:szCs w:val="24"/>
        </w:rPr>
        <w:t xml:space="preserve"> and X17-</w:t>
      </w:r>
      <w:r w:rsidR="002424B5" w:rsidRPr="002424B5">
        <w:t xml:space="preserve"> </w:t>
      </w:r>
      <w:r w:rsidR="002424B5" w:rsidRPr="002424B5">
        <w:rPr>
          <w:rFonts w:ascii="Times New Roman" w:hAnsi="Times New Roman" w:cs="Times New Roman"/>
          <w:sz w:val="24"/>
          <w:szCs w:val="24"/>
        </w:rPr>
        <w:t>Loan category, as provided by borrower</w:t>
      </w:r>
      <w:r w:rsidR="002424B5">
        <w:rPr>
          <w:rFonts w:ascii="Times New Roman" w:hAnsi="Times New Roman" w:cs="Times New Roman"/>
          <w:sz w:val="24"/>
          <w:szCs w:val="24"/>
        </w:rPr>
        <w:t xml:space="preserve"> we get following output:</w:t>
      </w:r>
    </w:p>
    <w:p w:rsidR="002424B5" w:rsidRDefault="002424B5" w:rsidP="00846998">
      <w:pPr>
        <w:rPr>
          <w:rFonts w:ascii="Times New Roman" w:hAnsi="Times New Roman" w:cs="Times New Roman"/>
          <w:sz w:val="24"/>
          <w:szCs w:val="24"/>
        </w:rPr>
      </w:pPr>
    </w:p>
    <w:p w:rsidR="002424B5" w:rsidRDefault="002424B5" w:rsidP="00846998">
      <w:pPr>
        <w:rPr>
          <w:rFonts w:ascii="Times New Roman" w:hAnsi="Times New Roman" w:cs="Times New Roman"/>
          <w:sz w:val="24"/>
          <w:szCs w:val="24"/>
        </w:rPr>
      </w:pPr>
    </w:p>
    <w:p w:rsidR="002424B5" w:rsidRDefault="002424B5" w:rsidP="00846998">
      <w:pPr>
        <w:rPr>
          <w:rFonts w:ascii="Times New Roman" w:hAnsi="Times New Roman" w:cs="Times New Roman"/>
          <w:sz w:val="24"/>
          <w:szCs w:val="24"/>
        </w:rPr>
      </w:pPr>
    </w:p>
    <w:p w:rsidR="002424B5" w:rsidRPr="00EE6A82" w:rsidRDefault="002424B5" w:rsidP="002424B5">
      <w:pPr>
        <w:rPr>
          <w:rFonts w:ascii="Times New Roman" w:hAnsi="Times New Roman" w:cs="Times New Roman"/>
          <w:sz w:val="24"/>
          <w:szCs w:val="24"/>
        </w:rPr>
      </w:pPr>
      <w:r w:rsidRPr="00EE6A82">
        <w:rPr>
          <w:rFonts w:ascii="Times New Roman" w:hAnsi="Times New Roman" w:cs="Times New Roman"/>
          <w:sz w:val="24"/>
          <w:szCs w:val="24"/>
        </w:rPr>
        <w:lastRenderedPageBreak/>
        <w:t>X10</w:t>
      </w:r>
      <w:r w:rsidR="00EE6A82">
        <w:rPr>
          <w:rFonts w:ascii="Times New Roman" w:hAnsi="Times New Roman" w:cs="Times New Roman"/>
          <w:sz w:val="24"/>
          <w:szCs w:val="24"/>
        </w:rPr>
        <w:t xml:space="preserve">:- </w:t>
      </w:r>
      <w:r w:rsidRPr="00EE6A82">
        <w:rPr>
          <w:rFonts w:ascii="Times New Roman" w:hAnsi="Times New Roman" w:cs="Times New Roman"/>
          <w:sz w:val="24"/>
          <w:szCs w:val="24"/>
        </w:rPr>
        <w:t>F</w:t>
      </w:r>
      <w:r w:rsidRPr="00EE6A82">
        <w:rPr>
          <w:rFonts w:ascii="Times New Roman" w:hAnsi="Times New Roman" w:cs="Times New Roman"/>
          <w:sz w:val="24"/>
          <w:szCs w:val="24"/>
        </w:rPr>
        <w:t xml:space="preserve">rom this </w:t>
      </w:r>
      <w:proofErr w:type="spellStart"/>
      <w:r w:rsidRPr="00EE6A82">
        <w:rPr>
          <w:rFonts w:ascii="Times New Roman" w:hAnsi="Times New Roman" w:cs="Times New Roman"/>
          <w:sz w:val="24"/>
          <w:szCs w:val="24"/>
        </w:rPr>
        <w:t>wordcloud</w:t>
      </w:r>
      <w:proofErr w:type="spellEnd"/>
      <w:r w:rsidRPr="00EE6A82">
        <w:rPr>
          <w:rFonts w:ascii="Times New Roman" w:hAnsi="Times New Roman" w:cs="Times New Roman"/>
          <w:sz w:val="24"/>
          <w:szCs w:val="24"/>
        </w:rPr>
        <w:t xml:space="preserve"> we can see that most people who applied for loan are managers, directors, teachers etc. it is beneficial to know people from which field and posts are getting loans so that we can focus on them and try and get focus on people from other categories as well.</w:t>
      </w:r>
    </w:p>
    <w:p w:rsidR="002424B5" w:rsidRDefault="002424B5" w:rsidP="002424B5"/>
    <w:p w:rsidR="002424B5" w:rsidRPr="00846998" w:rsidRDefault="002424B5" w:rsidP="00846998">
      <w:pPr>
        <w:rPr>
          <w:rFonts w:ascii="Times New Roman" w:hAnsi="Times New Roman" w:cs="Times New Roman"/>
          <w:sz w:val="24"/>
          <w:szCs w:val="24"/>
        </w:rPr>
      </w:pPr>
      <w:r w:rsidRPr="002424B5">
        <w:rPr>
          <w:rFonts w:ascii="Times New Roman" w:hAnsi="Times New Roman" w:cs="Times New Roman"/>
          <w:noProof/>
          <w:sz w:val="24"/>
          <w:szCs w:val="24"/>
        </w:rPr>
        <w:drawing>
          <wp:inline distT="0" distB="0" distL="0" distR="0">
            <wp:extent cx="5934075" cy="4886325"/>
            <wp:effectExtent l="0" t="0" r="9525" b="9525"/>
            <wp:docPr id="6" name="Picture 6" descr="C:\Users\shara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rang\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886325"/>
                    </a:xfrm>
                    <a:prstGeom prst="rect">
                      <a:avLst/>
                    </a:prstGeom>
                    <a:noFill/>
                    <a:ln>
                      <a:noFill/>
                    </a:ln>
                  </pic:spPr>
                </pic:pic>
              </a:graphicData>
            </a:graphic>
          </wp:inline>
        </w:drawing>
      </w:r>
    </w:p>
    <w:p w:rsidR="00846998" w:rsidRDefault="00846998" w:rsidP="0057058E">
      <w:pPr>
        <w:pStyle w:val="Default"/>
        <w:ind w:left="720"/>
        <w:rPr>
          <w:rFonts w:ascii="Times New Roman" w:hAnsi="Times New Roman" w:cs="Times New Roman"/>
        </w:rPr>
      </w:pPr>
    </w:p>
    <w:p w:rsidR="002424B5" w:rsidRDefault="002424B5" w:rsidP="0057058E">
      <w:pPr>
        <w:pStyle w:val="Default"/>
        <w:ind w:left="720"/>
        <w:rPr>
          <w:rFonts w:ascii="Times New Roman" w:hAnsi="Times New Roman" w:cs="Times New Roman"/>
        </w:rPr>
      </w:pPr>
    </w:p>
    <w:p w:rsidR="002424B5" w:rsidRDefault="002424B5" w:rsidP="0057058E">
      <w:pPr>
        <w:pStyle w:val="Default"/>
        <w:ind w:left="720"/>
        <w:rPr>
          <w:rFonts w:ascii="Times New Roman" w:hAnsi="Times New Roman" w:cs="Times New Roman"/>
        </w:rPr>
      </w:pPr>
    </w:p>
    <w:p w:rsidR="002424B5" w:rsidRDefault="002424B5" w:rsidP="0057058E">
      <w:pPr>
        <w:pStyle w:val="Default"/>
        <w:ind w:left="720"/>
        <w:rPr>
          <w:rFonts w:ascii="Times New Roman" w:hAnsi="Times New Roman" w:cs="Times New Roman"/>
        </w:rPr>
      </w:pPr>
    </w:p>
    <w:p w:rsidR="002424B5" w:rsidRDefault="002424B5" w:rsidP="0057058E">
      <w:pPr>
        <w:pStyle w:val="Default"/>
        <w:ind w:left="720"/>
        <w:rPr>
          <w:rFonts w:ascii="Times New Roman" w:hAnsi="Times New Roman" w:cs="Times New Roman"/>
        </w:rPr>
      </w:pPr>
    </w:p>
    <w:p w:rsidR="002424B5" w:rsidRDefault="002424B5" w:rsidP="0057058E">
      <w:pPr>
        <w:pStyle w:val="Default"/>
        <w:ind w:left="720"/>
        <w:rPr>
          <w:rFonts w:ascii="Times New Roman" w:hAnsi="Times New Roman" w:cs="Times New Roman"/>
        </w:rPr>
      </w:pPr>
    </w:p>
    <w:p w:rsidR="002424B5" w:rsidRDefault="002424B5" w:rsidP="0057058E">
      <w:pPr>
        <w:pStyle w:val="Default"/>
        <w:ind w:left="720"/>
        <w:rPr>
          <w:rFonts w:ascii="Times New Roman" w:hAnsi="Times New Roman" w:cs="Times New Roman"/>
        </w:rPr>
      </w:pPr>
    </w:p>
    <w:p w:rsidR="002424B5" w:rsidRDefault="002424B5" w:rsidP="0057058E">
      <w:pPr>
        <w:pStyle w:val="Default"/>
        <w:ind w:left="720"/>
        <w:rPr>
          <w:rFonts w:ascii="Times New Roman" w:hAnsi="Times New Roman" w:cs="Times New Roman"/>
        </w:rPr>
      </w:pPr>
    </w:p>
    <w:p w:rsidR="002424B5" w:rsidRDefault="002424B5" w:rsidP="0057058E">
      <w:pPr>
        <w:pStyle w:val="Default"/>
        <w:ind w:left="720"/>
        <w:rPr>
          <w:rFonts w:ascii="Times New Roman" w:hAnsi="Times New Roman" w:cs="Times New Roman"/>
        </w:rPr>
      </w:pPr>
    </w:p>
    <w:p w:rsidR="002424B5" w:rsidRDefault="002424B5" w:rsidP="0057058E">
      <w:pPr>
        <w:pStyle w:val="Default"/>
        <w:ind w:left="720"/>
        <w:rPr>
          <w:rFonts w:ascii="Times New Roman" w:hAnsi="Times New Roman" w:cs="Times New Roman"/>
        </w:rPr>
      </w:pPr>
    </w:p>
    <w:p w:rsidR="002424B5" w:rsidRDefault="002424B5" w:rsidP="002424B5">
      <w:pPr>
        <w:pStyle w:val="Default"/>
        <w:rPr>
          <w:rFonts w:ascii="Times New Roman" w:hAnsi="Times New Roman" w:cs="Times New Roman"/>
        </w:rPr>
      </w:pPr>
    </w:p>
    <w:p w:rsidR="002424B5" w:rsidRPr="00EE6A82" w:rsidRDefault="002424B5" w:rsidP="002424B5">
      <w:pPr>
        <w:pStyle w:val="Default"/>
        <w:rPr>
          <w:rFonts w:ascii="Times New Roman" w:hAnsi="Times New Roman" w:cs="Times New Roman"/>
        </w:rPr>
      </w:pPr>
      <w:r w:rsidRPr="00EE6A82">
        <w:rPr>
          <w:rFonts w:ascii="Times New Roman" w:hAnsi="Times New Roman" w:cs="Times New Roman"/>
        </w:rPr>
        <w:lastRenderedPageBreak/>
        <w:t>X16:</w:t>
      </w:r>
      <w:r w:rsidR="00EE6A82">
        <w:rPr>
          <w:rFonts w:ascii="Times New Roman" w:hAnsi="Times New Roman" w:cs="Times New Roman"/>
        </w:rPr>
        <w:t xml:space="preserve">- </w:t>
      </w:r>
      <w:r w:rsidR="00EE6A82" w:rsidRPr="00EE6A82">
        <w:rPr>
          <w:rFonts w:ascii="Times New Roman" w:hAnsi="Times New Roman" w:cs="Times New Roman"/>
        </w:rPr>
        <w:t xml:space="preserve">From this </w:t>
      </w:r>
      <w:proofErr w:type="spellStart"/>
      <w:r w:rsidR="00EE6A82" w:rsidRPr="00EE6A82">
        <w:rPr>
          <w:rFonts w:ascii="Times New Roman" w:hAnsi="Times New Roman" w:cs="Times New Roman"/>
        </w:rPr>
        <w:t>wordcloud</w:t>
      </w:r>
      <w:proofErr w:type="spellEnd"/>
      <w:r w:rsidR="00EE6A82">
        <w:rPr>
          <w:rFonts w:ascii="Times New Roman" w:hAnsi="Times New Roman" w:cs="Times New Roman"/>
        </w:rPr>
        <w:t xml:space="preserve"> it</w:t>
      </w:r>
      <w:r w:rsidR="00EE6A82" w:rsidRPr="00EE6A82">
        <w:rPr>
          <w:rFonts w:ascii="Times New Roman" w:hAnsi="Times New Roman" w:cs="Times New Roman"/>
        </w:rPr>
        <w:t xml:space="preserve"> </w:t>
      </w:r>
      <w:r w:rsidRPr="00EE6A82">
        <w:rPr>
          <w:rFonts w:ascii="Times New Roman" w:hAnsi="Times New Roman" w:cs="Times New Roman"/>
        </w:rPr>
        <w:t>shows reasons behind taking loan. We can see that most of people who took loan did it to return borrowed money or pay their debt and loan and bills</w:t>
      </w:r>
      <w:r>
        <w:t>.</w:t>
      </w:r>
    </w:p>
    <w:p w:rsidR="002424B5" w:rsidRDefault="002424B5" w:rsidP="002424B5">
      <w:pPr>
        <w:pStyle w:val="Default"/>
      </w:pPr>
    </w:p>
    <w:p w:rsidR="002424B5" w:rsidRDefault="002424B5" w:rsidP="002424B5">
      <w:pPr>
        <w:pStyle w:val="Default"/>
      </w:pPr>
      <w:r w:rsidRPr="002424B5">
        <w:rPr>
          <w:noProof/>
        </w:rPr>
        <w:drawing>
          <wp:inline distT="0" distB="0" distL="0" distR="0">
            <wp:extent cx="6093460" cy="4524375"/>
            <wp:effectExtent l="0" t="0" r="2540" b="9525"/>
            <wp:docPr id="7" name="Picture 7" descr="C:\Users\sharang\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rang\Desktop\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9556" cy="4528901"/>
                    </a:xfrm>
                    <a:prstGeom prst="rect">
                      <a:avLst/>
                    </a:prstGeom>
                    <a:noFill/>
                    <a:ln>
                      <a:noFill/>
                    </a:ln>
                  </pic:spPr>
                </pic:pic>
              </a:graphicData>
            </a:graphic>
          </wp:inline>
        </w:drawing>
      </w:r>
    </w:p>
    <w:p w:rsidR="002424B5" w:rsidRDefault="002424B5" w:rsidP="002424B5">
      <w:pPr>
        <w:pStyle w:val="Default"/>
      </w:pPr>
    </w:p>
    <w:p w:rsidR="002424B5" w:rsidRDefault="002424B5" w:rsidP="002424B5">
      <w:pPr>
        <w:pStyle w:val="Default"/>
        <w:rPr>
          <w:rFonts w:ascii="Times New Roman" w:hAnsi="Times New Roman" w:cs="Times New Roman"/>
        </w:rPr>
      </w:pPr>
      <w:r w:rsidRPr="00EE6A82">
        <w:rPr>
          <w:rFonts w:ascii="Times New Roman" w:hAnsi="Times New Roman" w:cs="Times New Roman"/>
        </w:rPr>
        <w:t>X17:</w:t>
      </w:r>
      <w:r w:rsidR="00EE6A82">
        <w:rPr>
          <w:rFonts w:ascii="Times New Roman" w:hAnsi="Times New Roman" w:cs="Times New Roman"/>
        </w:rPr>
        <w:t xml:space="preserve"> </w:t>
      </w:r>
      <w:r w:rsidR="00EE6A82" w:rsidRPr="00EE6A82">
        <w:rPr>
          <w:rFonts w:ascii="Times New Roman" w:hAnsi="Times New Roman" w:cs="Times New Roman"/>
        </w:rPr>
        <w:t xml:space="preserve">From this </w:t>
      </w:r>
      <w:proofErr w:type="spellStart"/>
      <w:r w:rsidR="00EE6A82" w:rsidRPr="00EE6A82">
        <w:rPr>
          <w:rFonts w:ascii="Times New Roman" w:hAnsi="Times New Roman" w:cs="Times New Roman"/>
        </w:rPr>
        <w:t>wordcloud</w:t>
      </w:r>
      <w:proofErr w:type="spellEnd"/>
      <w:r w:rsidR="00EE6A82">
        <w:rPr>
          <w:rFonts w:ascii="Times New Roman" w:hAnsi="Times New Roman" w:cs="Times New Roman"/>
        </w:rPr>
        <w:t xml:space="preserve"> it</w:t>
      </w:r>
      <w:r w:rsidR="00977797">
        <w:rPr>
          <w:rFonts w:ascii="Times New Roman" w:hAnsi="Times New Roman" w:cs="Times New Roman"/>
        </w:rPr>
        <w:t xml:space="preserve"> shows the loan category for which the people take loans and mostly people take foe debt consolidation</w:t>
      </w:r>
      <w:r w:rsidR="004C0E8C">
        <w:rPr>
          <w:rFonts w:ascii="Times New Roman" w:hAnsi="Times New Roman" w:cs="Times New Roman"/>
        </w:rPr>
        <w:t xml:space="preserve"> which means: </w:t>
      </w:r>
      <w:r w:rsidR="004C0E8C">
        <w:rPr>
          <w:rFonts w:ascii="Helvetica" w:hAnsi="Helvetica" w:cs="Helvetica"/>
          <w:sz w:val="23"/>
          <w:szCs w:val="23"/>
        </w:rPr>
        <w:t xml:space="preserve">Debt </w:t>
      </w:r>
      <w:r w:rsidR="004C0E8C">
        <w:rPr>
          <w:rFonts w:ascii="Helvetica" w:hAnsi="Helvetica" w:cs="Helvetica"/>
          <w:sz w:val="23"/>
          <w:szCs w:val="23"/>
          <w:shd w:val="clear" w:color="auto" w:fill="FFFFFF"/>
        </w:rPr>
        <w:t>consolidation involves taking out a new loan to pay off a number of other debts</w:t>
      </w:r>
      <w:r w:rsidR="004C0E8C">
        <w:rPr>
          <w:rFonts w:ascii="Helvetica" w:hAnsi="Helvetica" w:cs="Helvetica"/>
          <w:sz w:val="23"/>
          <w:szCs w:val="23"/>
          <w:shd w:val="clear" w:color="auto" w:fill="FFFFFF"/>
        </w:rPr>
        <w:t>.</w:t>
      </w:r>
    </w:p>
    <w:p w:rsidR="00EE6A82" w:rsidRDefault="00EE6A82" w:rsidP="002424B5">
      <w:pPr>
        <w:pStyle w:val="Default"/>
        <w:rPr>
          <w:rFonts w:ascii="Times New Roman" w:hAnsi="Times New Roman" w:cs="Times New Roman"/>
        </w:rPr>
      </w:pPr>
    </w:p>
    <w:p w:rsidR="002424B5" w:rsidRPr="00EE6A82" w:rsidRDefault="00EE6A82" w:rsidP="002424B5">
      <w:pPr>
        <w:pStyle w:val="Default"/>
        <w:rPr>
          <w:rFonts w:ascii="Times New Roman" w:hAnsi="Times New Roman" w:cs="Times New Roman"/>
        </w:rPr>
      </w:pPr>
      <w:r w:rsidRPr="00EE6A82">
        <w:rPr>
          <w:rFonts w:ascii="Times New Roman" w:hAnsi="Times New Roman" w:cs="Times New Roman"/>
          <w:noProof/>
        </w:rPr>
        <w:drawing>
          <wp:inline distT="0" distB="0" distL="0" distR="0">
            <wp:extent cx="6057900" cy="2155462"/>
            <wp:effectExtent l="0" t="0" r="0" b="0"/>
            <wp:docPr id="8" name="Picture 8" descr="C:\Users\sharang\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rang\Desktop\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915" cy="2169700"/>
                    </a:xfrm>
                    <a:prstGeom prst="rect">
                      <a:avLst/>
                    </a:prstGeom>
                    <a:noFill/>
                    <a:ln>
                      <a:noFill/>
                    </a:ln>
                  </pic:spPr>
                </pic:pic>
              </a:graphicData>
            </a:graphic>
          </wp:inline>
        </w:drawing>
      </w:r>
      <w:bookmarkStart w:id="0" w:name="_GoBack"/>
      <w:bookmarkEnd w:id="0"/>
    </w:p>
    <w:sectPr w:rsidR="002424B5" w:rsidRPr="00EE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1E3"/>
    <w:multiLevelType w:val="hybridMultilevel"/>
    <w:tmpl w:val="8182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D403F"/>
    <w:multiLevelType w:val="hybridMultilevel"/>
    <w:tmpl w:val="CFC66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B13FA1"/>
    <w:multiLevelType w:val="hybridMultilevel"/>
    <w:tmpl w:val="7A7EDA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E01D6D"/>
    <w:multiLevelType w:val="hybridMultilevel"/>
    <w:tmpl w:val="D94E0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46A483D"/>
    <w:multiLevelType w:val="hybridMultilevel"/>
    <w:tmpl w:val="AE22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443968"/>
    <w:multiLevelType w:val="hybridMultilevel"/>
    <w:tmpl w:val="1B8E55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7F071191"/>
    <w:multiLevelType w:val="hybridMultilevel"/>
    <w:tmpl w:val="4824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99"/>
    <w:rsid w:val="002424B5"/>
    <w:rsid w:val="00264C86"/>
    <w:rsid w:val="004C0E8C"/>
    <w:rsid w:val="0053678B"/>
    <w:rsid w:val="0057058E"/>
    <w:rsid w:val="00823C78"/>
    <w:rsid w:val="00846998"/>
    <w:rsid w:val="00853C41"/>
    <w:rsid w:val="00871B6C"/>
    <w:rsid w:val="00891CA7"/>
    <w:rsid w:val="008D7D50"/>
    <w:rsid w:val="00977797"/>
    <w:rsid w:val="009C34B2"/>
    <w:rsid w:val="009E515D"/>
    <w:rsid w:val="00A474FF"/>
    <w:rsid w:val="00AA046F"/>
    <w:rsid w:val="00AA35B1"/>
    <w:rsid w:val="00B81099"/>
    <w:rsid w:val="00BD0290"/>
    <w:rsid w:val="00BD546D"/>
    <w:rsid w:val="00D8033A"/>
    <w:rsid w:val="00E332AD"/>
    <w:rsid w:val="00E83830"/>
    <w:rsid w:val="00E91A64"/>
    <w:rsid w:val="00EE6A82"/>
    <w:rsid w:val="00F778EC"/>
    <w:rsid w:val="00FB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A72BB-136F-4AC1-BC0F-3D2B18AF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09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D02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91A64"/>
    <w:rPr>
      <w:sz w:val="16"/>
      <w:szCs w:val="16"/>
    </w:rPr>
  </w:style>
  <w:style w:type="paragraph" w:styleId="CommentText">
    <w:name w:val="annotation text"/>
    <w:basedOn w:val="Normal"/>
    <w:link w:val="CommentTextChar"/>
    <w:uiPriority w:val="99"/>
    <w:semiHidden/>
    <w:unhideWhenUsed/>
    <w:rsid w:val="00E91A64"/>
    <w:pPr>
      <w:spacing w:line="240" w:lineRule="auto"/>
    </w:pPr>
    <w:rPr>
      <w:sz w:val="20"/>
      <w:szCs w:val="20"/>
    </w:rPr>
  </w:style>
  <w:style w:type="character" w:customStyle="1" w:styleId="CommentTextChar">
    <w:name w:val="Comment Text Char"/>
    <w:basedOn w:val="DefaultParagraphFont"/>
    <w:link w:val="CommentText"/>
    <w:uiPriority w:val="99"/>
    <w:semiHidden/>
    <w:rsid w:val="00E91A64"/>
    <w:rPr>
      <w:sz w:val="20"/>
      <w:szCs w:val="20"/>
    </w:rPr>
  </w:style>
  <w:style w:type="paragraph" w:styleId="CommentSubject">
    <w:name w:val="annotation subject"/>
    <w:basedOn w:val="CommentText"/>
    <w:next w:val="CommentText"/>
    <w:link w:val="CommentSubjectChar"/>
    <w:uiPriority w:val="99"/>
    <w:semiHidden/>
    <w:unhideWhenUsed/>
    <w:rsid w:val="00E91A64"/>
    <w:rPr>
      <w:b/>
      <w:bCs/>
    </w:rPr>
  </w:style>
  <w:style w:type="character" w:customStyle="1" w:styleId="CommentSubjectChar">
    <w:name w:val="Comment Subject Char"/>
    <w:basedOn w:val="CommentTextChar"/>
    <w:link w:val="CommentSubject"/>
    <w:uiPriority w:val="99"/>
    <w:semiHidden/>
    <w:rsid w:val="00E91A64"/>
    <w:rPr>
      <w:b/>
      <w:bCs/>
      <w:sz w:val="20"/>
      <w:szCs w:val="20"/>
    </w:rPr>
  </w:style>
  <w:style w:type="paragraph" w:styleId="BalloonText">
    <w:name w:val="Balloon Text"/>
    <w:basedOn w:val="Normal"/>
    <w:link w:val="BalloonTextChar"/>
    <w:uiPriority w:val="99"/>
    <w:semiHidden/>
    <w:unhideWhenUsed/>
    <w:rsid w:val="00E91A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A64"/>
    <w:rPr>
      <w:rFonts w:ascii="Segoe UI" w:hAnsi="Segoe UI" w:cs="Segoe UI"/>
      <w:sz w:val="18"/>
      <w:szCs w:val="18"/>
    </w:rPr>
  </w:style>
  <w:style w:type="table" w:styleId="TableGrid">
    <w:name w:val="Table Grid"/>
    <w:basedOn w:val="TableNormal"/>
    <w:uiPriority w:val="39"/>
    <w:rsid w:val="00F77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C0E8C"/>
    <w:rPr>
      <w:color w:val="0000FF"/>
      <w:u w:val="single"/>
    </w:rPr>
  </w:style>
  <w:style w:type="character" w:customStyle="1" w:styleId="apple-converted-space">
    <w:name w:val="apple-converted-space"/>
    <w:basedOn w:val="DefaultParagraphFont"/>
    <w:rsid w:val="004C0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09996">
      <w:bodyDiv w:val="1"/>
      <w:marLeft w:val="0"/>
      <w:marRight w:val="0"/>
      <w:marTop w:val="0"/>
      <w:marBottom w:val="0"/>
      <w:divBdr>
        <w:top w:val="none" w:sz="0" w:space="0" w:color="auto"/>
        <w:left w:val="none" w:sz="0" w:space="0" w:color="auto"/>
        <w:bottom w:val="none" w:sz="0" w:space="0" w:color="auto"/>
        <w:right w:val="none" w:sz="0" w:space="0" w:color="auto"/>
      </w:divBdr>
    </w:div>
    <w:div w:id="1125542595">
      <w:bodyDiv w:val="1"/>
      <w:marLeft w:val="0"/>
      <w:marRight w:val="0"/>
      <w:marTop w:val="0"/>
      <w:marBottom w:val="0"/>
      <w:divBdr>
        <w:top w:val="none" w:sz="0" w:space="0" w:color="auto"/>
        <w:left w:val="none" w:sz="0" w:space="0" w:color="auto"/>
        <w:bottom w:val="none" w:sz="0" w:space="0" w:color="auto"/>
        <w:right w:val="none" w:sz="0" w:space="0" w:color="auto"/>
      </w:divBdr>
    </w:div>
    <w:div w:id="1222254384">
      <w:bodyDiv w:val="1"/>
      <w:marLeft w:val="0"/>
      <w:marRight w:val="0"/>
      <w:marTop w:val="0"/>
      <w:marBottom w:val="0"/>
      <w:divBdr>
        <w:top w:val="none" w:sz="0" w:space="0" w:color="auto"/>
        <w:left w:val="none" w:sz="0" w:space="0" w:color="auto"/>
        <w:bottom w:val="none" w:sz="0" w:space="0" w:color="auto"/>
        <w:right w:val="none" w:sz="0" w:space="0" w:color="auto"/>
      </w:divBdr>
    </w:div>
    <w:div w:id="1329022426">
      <w:bodyDiv w:val="1"/>
      <w:marLeft w:val="0"/>
      <w:marRight w:val="0"/>
      <w:marTop w:val="0"/>
      <w:marBottom w:val="0"/>
      <w:divBdr>
        <w:top w:val="none" w:sz="0" w:space="0" w:color="auto"/>
        <w:left w:val="none" w:sz="0" w:space="0" w:color="auto"/>
        <w:bottom w:val="none" w:sz="0" w:space="0" w:color="auto"/>
        <w:right w:val="none" w:sz="0" w:space="0" w:color="auto"/>
      </w:divBdr>
    </w:div>
    <w:div w:id="179582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BHASIN</dc:creator>
  <cp:keywords/>
  <dc:description/>
  <cp:lastModifiedBy>SHARANG BHASIN</cp:lastModifiedBy>
  <cp:revision>5</cp:revision>
  <dcterms:created xsi:type="dcterms:W3CDTF">2016-07-20T15:25:00Z</dcterms:created>
  <dcterms:modified xsi:type="dcterms:W3CDTF">2016-09-24T16:27:00Z</dcterms:modified>
</cp:coreProperties>
</file>