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316E" w:rsidRDefault="0004316E" w:rsidP="0004316E">
      <w:pPr>
        <w:pStyle w:val="Heading1"/>
        <w:jc w:val="center"/>
        <w:rPr>
          <w:sz w:val="96"/>
          <w:szCs w:val="96"/>
        </w:rPr>
      </w:pPr>
      <w:r w:rsidRPr="0004316E">
        <w:rPr>
          <w:sz w:val="96"/>
          <w:szCs w:val="96"/>
        </w:rPr>
        <w:t>NVIDIA NIM</w:t>
      </w:r>
    </w:p>
    <w:p w:rsidR="000558C2" w:rsidRPr="000558C2" w:rsidRDefault="000558C2" w:rsidP="000558C2">
      <w:pPr>
        <w:rPr>
          <w:b/>
          <w:bCs/>
        </w:rPr>
      </w:pPr>
      <w:r w:rsidRPr="000558C2">
        <w:rPr>
          <w:b/>
          <w:bCs/>
        </w:rPr>
        <w:t xml:space="preserve">NVIDIA NIM Revolutionizes Model Deployment, Now Available to Transform World’s Millions of Developers </w:t>
      </w:r>
      <w:proofErr w:type="gramStart"/>
      <w:r w:rsidRPr="000558C2">
        <w:rPr>
          <w:b/>
          <w:bCs/>
        </w:rPr>
        <w:t>Into</w:t>
      </w:r>
      <w:proofErr w:type="gramEnd"/>
      <w:r w:rsidRPr="000558C2">
        <w:rPr>
          <w:b/>
          <w:bCs/>
        </w:rPr>
        <w:t xml:space="preserve"> Generative AI Developers</w:t>
      </w:r>
    </w:p>
    <w:p w:rsidR="000558C2" w:rsidRPr="000558C2" w:rsidRDefault="000558C2" w:rsidP="000558C2">
      <w:pPr>
        <w:numPr>
          <w:ilvl w:val="0"/>
          <w:numId w:val="2"/>
        </w:numPr>
        <w:shd w:val="clear" w:color="auto" w:fill="FFFFFF"/>
        <w:spacing w:before="100" w:beforeAutospacing="1" w:after="100" w:afterAutospacing="1" w:line="240" w:lineRule="auto"/>
        <w:rPr>
          <w:rFonts w:ascii="inherit" w:eastAsia="Times New Roman" w:hAnsi="inherit" w:cs="Helvetica"/>
          <w:color w:val="1A1A1A"/>
          <w:kern w:val="0"/>
          <w:sz w:val="23"/>
          <w:szCs w:val="23"/>
          <w14:ligatures w14:val="none"/>
        </w:rPr>
      </w:pPr>
      <w:r w:rsidRPr="000558C2">
        <w:rPr>
          <w:rFonts w:ascii="inherit" w:eastAsia="Times New Roman" w:hAnsi="inherit" w:cs="Helvetica"/>
          <w:i/>
          <w:iCs/>
          <w:color w:val="1A1A1A"/>
          <w:kern w:val="0"/>
          <w:sz w:val="23"/>
          <w:szCs w:val="23"/>
          <w14:ligatures w14:val="none"/>
        </w:rPr>
        <w:t>NVIDIA Developer Program Members Gain Free Access to NIM for Research, Development and Testing</w:t>
      </w:r>
    </w:p>
    <w:p w:rsidR="000558C2" w:rsidRPr="000558C2" w:rsidRDefault="000558C2" w:rsidP="000558C2">
      <w:r w:rsidRPr="000558C2">
        <w:t> </w:t>
      </w:r>
      <w:hyperlink r:id="rId5" w:tgtFrame="_blank" w:history="1">
        <w:r w:rsidRPr="000558C2">
          <w:rPr>
            <w:rStyle w:val="Hyperlink"/>
          </w:rPr>
          <w:t>NVIDIA NIM</w:t>
        </w:r>
      </w:hyperlink>
      <w:r w:rsidRPr="000558C2">
        <w:t>™ — inference microservices that provide models as optimized containers — to deploy on clouds, data centers or workstations, giving them the ability to easily build generative AI applications for copilots, chatbots and more, in minutes rather than weeks.</w:t>
      </w:r>
    </w:p>
    <w:p w:rsidR="0004316E" w:rsidRDefault="000558C2" w:rsidP="0004316E">
      <w:r w:rsidRPr="000558C2">
        <w:t>NVIDIA NIM dramatically increases developer productivity by providing a simple, standardized way to add generative AI to their applications.</w:t>
      </w:r>
    </w:p>
    <w:p w:rsidR="000558C2" w:rsidRDefault="000558C2" w:rsidP="0004316E">
      <w:r w:rsidRPr="000558C2">
        <w:t>NIM also enables enterprises to maximize their infrastructure investments. For example, running Meta Llama 3-8B in a NIM produces up to 3x more generative AI tokens on accelerated infrastructure than without NIM. This lets enterprises boost efficiency and use the same amount of compute infrastructure to generate more responses.</w:t>
      </w:r>
    </w:p>
    <w:p w:rsidR="000558C2" w:rsidRDefault="000558C2" w:rsidP="0004316E">
      <w:r w:rsidRPr="000558C2">
        <w:t>Nearly 200 technology partners — including Cadence, </w:t>
      </w:r>
      <w:hyperlink r:id="rId6" w:tgtFrame="_blank" w:history="1">
        <w:r w:rsidRPr="000558C2">
          <w:rPr>
            <w:rStyle w:val="Hyperlink"/>
          </w:rPr>
          <w:t>Cloudera</w:t>
        </w:r>
      </w:hyperlink>
      <w:r w:rsidRPr="000558C2">
        <w:t>, </w:t>
      </w:r>
      <w:hyperlink r:id="rId7" w:tgtFrame="_blank" w:history="1">
        <w:r w:rsidRPr="000558C2">
          <w:rPr>
            <w:rStyle w:val="Hyperlink"/>
          </w:rPr>
          <w:t>Cohesity</w:t>
        </w:r>
      </w:hyperlink>
      <w:r w:rsidRPr="000558C2">
        <w:t>, </w:t>
      </w:r>
      <w:hyperlink r:id="rId8" w:tgtFrame="_blank" w:history="1">
        <w:r w:rsidRPr="000558C2">
          <w:rPr>
            <w:rStyle w:val="Hyperlink"/>
          </w:rPr>
          <w:t>DataStax</w:t>
        </w:r>
      </w:hyperlink>
      <w:r w:rsidRPr="000558C2">
        <w:t>, </w:t>
      </w:r>
      <w:hyperlink r:id="rId9" w:tgtFrame="_blank" w:history="1">
        <w:r w:rsidRPr="000558C2">
          <w:rPr>
            <w:rStyle w:val="Hyperlink"/>
          </w:rPr>
          <w:t>NetApp</w:t>
        </w:r>
      </w:hyperlink>
      <w:r w:rsidRPr="000558C2">
        <w:t>, Scale AI and </w:t>
      </w:r>
      <w:hyperlink r:id="rId10" w:tgtFrame="_blank" w:history="1">
        <w:r w:rsidRPr="000558C2">
          <w:rPr>
            <w:rStyle w:val="Hyperlink"/>
          </w:rPr>
          <w:t>Synopsys</w:t>
        </w:r>
      </w:hyperlink>
      <w:r w:rsidRPr="000558C2">
        <w:t> — are integrating NIM into their platforms to speed generative AI deployments for domain-specific applications, such as copilots, code assistants and digital human avatars. </w:t>
      </w:r>
      <w:hyperlink r:id="rId11" w:tgtFrame="_blank" w:history="1">
        <w:r w:rsidRPr="000558C2">
          <w:rPr>
            <w:rStyle w:val="Hyperlink"/>
          </w:rPr>
          <w:t>Hugging Face</w:t>
        </w:r>
      </w:hyperlink>
      <w:r w:rsidRPr="000558C2">
        <w:t> is now offering NIM — starting with </w:t>
      </w:r>
      <w:hyperlink r:id="rId12" w:tgtFrame="_blank" w:history="1">
        <w:r w:rsidRPr="000558C2">
          <w:rPr>
            <w:rStyle w:val="Hyperlink"/>
          </w:rPr>
          <w:t>Meta Llama 3</w:t>
        </w:r>
      </w:hyperlink>
      <w:r w:rsidRPr="000558C2">
        <w:t>.</w:t>
      </w:r>
    </w:p>
    <w:p w:rsidR="000558C2" w:rsidRDefault="000558C2" w:rsidP="0004316E">
      <w:r>
        <w:t>Healthcare</w:t>
      </w:r>
    </w:p>
    <w:p w:rsidR="000558C2" w:rsidRDefault="000558C2" w:rsidP="0004316E">
      <w:r w:rsidRPr="000558C2">
        <w:t>Dozens of healthcare companies are </w:t>
      </w:r>
      <w:hyperlink r:id="rId13" w:tgtFrame="_blank" w:history="1">
        <w:r w:rsidRPr="000558C2">
          <w:rPr>
            <w:rStyle w:val="Hyperlink"/>
          </w:rPr>
          <w:t>deploying NIM</w:t>
        </w:r>
      </w:hyperlink>
      <w:r w:rsidRPr="000558C2">
        <w:t> to power generative AI inference across a range of applications, including surgical planning, digital assistants, drug discovery and clinical trial optimization.</w:t>
      </w:r>
    </w:p>
    <w:p w:rsidR="000558C2" w:rsidRPr="000558C2" w:rsidRDefault="000558C2" w:rsidP="000558C2">
      <w:r w:rsidRPr="000558C2">
        <w:t xml:space="preserve">Leading AI tools and </w:t>
      </w:r>
      <w:proofErr w:type="spellStart"/>
      <w:r w:rsidRPr="000558C2">
        <w:t>MLOps</w:t>
      </w:r>
      <w:proofErr w:type="spellEnd"/>
      <w:r w:rsidRPr="000558C2">
        <w:t xml:space="preserve"> partners — including Amazon </w:t>
      </w:r>
      <w:proofErr w:type="spellStart"/>
      <w:r w:rsidRPr="000558C2">
        <w:t>SageMaker</w:t>
      </w:r>
      <w:proofErr w:type="spellEnd"/>
      <w:r w:rsidRPr="000558C2">
        <w:t xml:space="preserve">, Microsoft Azure AI, Dataiku, </w:t>
      </w:r>
      <w:proofErr w:type="spellStart"/>
      <w:r w:rsidRPr="000558C2">
        <w:t>DataRobot</w:t>
      </w:r>
      <w:proofErr w:type="spellEnd"/>
      <w:r w:rsidRPr="000558C2">
        <w:t>, </w:t>
      </w:r>
      <w:proofErr w:type="spellStart"/>
      <w:r w:rsidRPr="000558C2">
        <w:fldChar w:fldCharType="begin"/>
      </w:r>
      <w:r w:rsidRPr="000558C2">
        <w:instrText>HYPERLINK "https://haystack.deepset.ai/blog/haystack-nvidia-nim-rag-guide" \o "" \t "_blank"</w:instrText>
      </w:r>
      <w:r w:rsidRPr="000558C2">
        <w:fldChar w:fldCharType="separate"/>
      </w:r>
      <w:r w:rsidRPr="000558C2">
        <w:rPr>
          <w:rStyle w:val="Hyperlink"/>
        </w:rPr>
        <w:t>deepset</w:t>
      </w:r>
      <w:proofErr w:type="spellEnd"/>
      <w:r w:rsidRPr="000558C2">
        <w:fldChar w:fldCharType="end"/>
      </w:r>
      <w:r w:rsidRPr="000558C2">
        <w:t>, Domino Data Lab, </w:t>
      </w:r>
      <w:proofErr w:type="spellStart"/>
      <w:r w:rsidRPr="000558C2">
        <w:fldChar w:fldCharType="begin"/>
      </w:r>
      <w:r w:rsidRPr="000558C2">
        <w:instrText>HYPERLINK "https://blog.langchain.dev/nvidia-nim/" \o "" \t "_blank"</w:instrText>
      </w:r>
      <w:r w:rsidRPr="000558C2">
        <w:fldChar w:fldCharType="separate"/>
      </w:r>
      <w:r w:rsidRPr="000558C2">
        <w:rPr>
          <w:rStyle w:val="Hyperlink"/>
        </w:rPr>
        <w:t>LangChain</w:t>
      </w:r>
      <w:proofErr w:type="spellEnd"/>
      <w:r w:rsidRPr="000558C2">
        <w:fldChar w:fldCharType="end"/>
      </w:r>
      <w:r w:rsidRPr="000558C2">
        <w:t>, </w:t>
      </w:r>
      <w:hyperlink r:id="rId14" w:tgtFrame="_blank" w:history="1">
        <w:r w:rsidRPr="000558C2">
          <w:rPr>
            <w:rStyle w:val="Hyperlink"/>
          </w:rPr>
          <w:t>Llama Index</w:t>
        </w:r>
      </w:hyperlink>
      <w:r w:rsidRPr="000558C2">
        <w:t>, </w:t>
      </w:r>
      <w:hyperlink r:id="rId15" w:tgtFrame="_blank" w:history="1">
        <w:r w:rsidRPr="000558C2">
          <w:rPr>
            <w:rStyle w:val="Hyperlink"/>
          </w:rPr>
          <w:t>Replicate</w:t>
        </w:r>
      </w:hyperlink>
      <w:r w:rsidRPr="000558C2">
        <w:t>, Run.ai, </w:t>
      </w:r>
      <w:hyperlink r:id="rId16" w:tgtFrame="_blank" w:history="1">
        <w:r w:rsidRPr="000558C2">
          <w:rPr>
            <w:rStyle w:val="Hyperlink"/>
          </w:rPr>
          <w:t>Saturn Cloud</w:t>
        </w:r>
      </w:hyperlink>
      <w:r w:rsidRPr="000558C2">
        <w:t xml:space="preserve">, </w:t>
      </w:r>
      <w:proofErr w:type="spellStart"/>
      <w:r w:rsidRPr="000558C2">
        <w:t>Securiti</w:t>
      </w:r>
      <w:proofErr w:type="spellEnd"/>
      <w:r w:rsidRPr="000558C2">
        <w:t xml:space="preserve"> AI and </w:t>
      </w:r>
      <w:hyperlink r:id="rId17" w:tgtFrame="_blank" w:history="1">
        <w:r w:rsidRPr="000558C2">
          <w:rPr>
            <w:rStyle w:val="Hyperlink"/>
          </w:rPr>
          <w:t>Weights &amp; Biases</w:t>
        </w:r>
      </w:hyperlink>
      <w:r w:rsidRPr="000558C2">
        <w:t> — have also embedded NIM into their platforms to enable developers to build and deploy domain-specific generative AI applications with optimized inference.</w:t>
      </w:r>
    </w:p>
    <w:p w:rsidR="000558C2" w:rsidRPr="000558C2" w:rsidRDefault="000558C2" w:rsidP="000558C2">
      <w:r w:rsidRPr="000558C2">
        <w:t>Global system integrators and service delivery partners Accenture, Deloitte, Infosys, </w:t>
      </w:r>
      <w:hyperlink r:id="rId18" w:tgtFrame="_blank" w:history="1">
        <w:r w:rsidRPr="000558C2">
          <w:rPr>
            <w:rStyle w:val="Hyperlink"/>
          </w:rPr>
          <w:t>Latentview</w:t>
        </w:r>
      </w:hyperlink>
      <w:r w:rsidRPr="000558C2">
        <w:t>, </w:t>
      </w:r>
      <w:proofErr w:type="spellStart"/>
      <w:r w:rsidRPr="000558C2">
        <w:fldChar w:fldCharType="begin"/>
      </w:r>
      <w:r w:rsidRPr="000558C2">
        <w:instrText>HYPERLINK "https://quantiphi.com/media-releases/quantiphi-unveils-generative-ai-platform-baioniqtm-integrated-with-nvidia-ai-enterprise-software-empowering-enterprise-productivity/" \o "" \t "_blank"</w:instrText>
      </w:r>
      <w:r w:rsidRPr="000558C2">
        <w:fldChar w:fldCharType="separate"/>
      </w:r>
      <w:r w:rsidRPr="000558C2">
        <w:rPr>
          <w:rStyle w:val="Hyperlink"/>
        </w:rPr>
        <w:t>Quantiphi</w:t>
      </w:r>
      <w:proofErr w:type="spellEnd"/>
      <w:r w:rsidRPr="000558C2">
        <w:fldChar w:fldCharType="end"/>
      </w:r>
      <w:r w:rsidRPr="000558C2">
        <w:t xml:space="preserve">, SoftServe, Tata Consultancy Services (TCS) and Wipro have </w:t>
      </w:r>
      <w:r w:rsidRPr="000558C2">
        <w:lastRenderedPageBreak/>
        <w:t>created NIM competencies to help the world’s enterprises quickly develop and deploy production AI strategies.</w:t>
      </w:r>
    </w:p>
    <w:p w:rsidR="000558C2" w:rsidRPr="000558C2" w:rsidRDefault="000558C2" w:rsidP="000558C2">
      <w:r w:rsidRPr="000558C2">
        <w:t>Enterprises can run NIM-enabled applications virtually anywhere, including on </w:t>
      </w:r>
      <w:hyperlink r:id="rId19" w:tgtFrame="_blank" w:history="1">
        <w:r w:rsidRPr="000558C2">
          <w:rPr>
            <w:rStyle w:val="Hyperlink"/>
          </w:rPr>
          <w:t>NVIDIA-Certified Systems</w:t>
        </w:r>
      </w:hyperlink>
      <w:r w:rsidRPr="000558C2">
        <w:t>™ from global infrastructure manufacturers Cisco, </w:t>
      </w:r>
      <w:hyperlink r:id="rId20" w:tgtFrame="_blank" w:history="1">
        <w:r w:rsidRPr="000558C2">
          <w:rPr>
            <w:rStyle w:val="Hyperlink"/>
          </w:rPr>
          <w:t>Dell Technologies</w:t>
        </w:r>
      </w:hyperlink>
      <w:r w:rsidRPr="000558C2">
        <w:t>, </w:t>
      </w:r>
      <w:hyperlink r:id="rId21" w:tgtFrame="_blank" w:history="1">
        <w:r w:rsidRPr="000558C2">
          <w:rPr>
            <w:rStyle w:val="Hyperlink"/>
          </w:rPr>
          <w:t>Hewlett-Packard Enterprise</w:t>
        </w:r>
      </w:hyperlink>
      <w:r w:rsidRPr="000558C2">
        <w:t>, </w:t>
      </w:r>
      <w:hyperlink r:id="rId22" w:tgtFrame="_blank" w:history="1">
        <w:r w:rsidRPr="000558C2">
          <w:rPr>
            <w:rStyle w:val="Hyperlink"/>
          </w:rPr>
          <w:t>Lenovo</w:t>
        </w:r>
      </w:hyperlink>
      <w:r w:rsidRPr="000558C2">
        <w:t> and Supermicro, as well as server manufacturers </w:t>
      </w:r>
      <w:hyperlink r:id="rId23" w:tgtFrame="_blank" w:history="1">
        <w:r w:rsidRPr="000558C2">
          <w:rPr>
            <w:rStyle w:val="Hyperlink"/>
          </w:rPr>
          <w:t>ASRock Rack</w:t>
        </w:r>
      </w:hyperlink>
      <w:r w:rsidRPr="000558C2">
        <w:t>, </w:t>
      </w:r>
      <w:hyperlink r:id="rId24" w:tgtFrame="_blank" w:history="1">
        <w:r w:rsidRPr="000558C2">
          <w:rPr>
            <w:rStyle w:val="Hyperlink"/>
          </w:rPr>
          <w:t>ASUS</w:t>
        </w:r>
      </w:hyperlink>
      <w:r w:rsidRPr="000558C2">
        <w:t>, </w:t>
      </w:r>
      <w:hyperlink r:id="rId25" w:tgtFrame="_blank" w:history="1">
        <w:r w:rsidRPr="000558C2">
          <w:rPr>
            <w:rStyle w:val="Hyperlink"/>
          </w:rPr>
          <w:t>GIGABYTE</w:t>
        </w:r>
      </w:hyperlink>
      <w:r w:rsidRPr="000558C2">
        <w:t>, </w:t>
      </w:r>
      <w:hyperlink r:id="rId26" w:tgtFrame="_blank" w:history="1">
        <w:r w:rsidRPr="000558C2">
          <w:rPr>
            <w:rStyle w:val="Hyperlink"/>
          </w:rPr>
          <w:t>Ingrasys</w:t>
        </w:r>
      </w:hyperlink>
      <w:r w:rsidRPr="000558C2">
        <w:t>, </w:t>
      </w:r>
      <w:proofErr w:type="spellStart"/>
      <w:r w:rsidRPr="000558C2">
        <w:fldChar w:fldCharType="begin"/>
      </w:r>
      <w:r w:rsidRPr="000558C2">
        <w:instrText>HYPERLINK "https://ebg.inventec.com/en/news/Press%20Release/2024/85" \o "" \t "_blank"</w:instrText>
      </w:r>
      <w:r w:rsidRPr="000558C2">
        <w:fldChar w:fldCharType="separate"/>
      </w:r>
      <w:r w:rsidRPr="000558C2">
        <w:rPr>
          <w:rStyle w:val="Hyperlink"/>
        </w:rPr>
        <w:t>Inventec</w:t>
      </w:r>
      <w:proofErr w:type="spellEnd"/>
      <w:r w:rsidRPr="000558C2">
        <w:fldChar w:fldCharType="end"/>
      </w:r>
      <w:r w:rsidRPr="000558C2">
        <w:t>, </w:t>
      </w:r>
      <w:hyperlink r:id="rId27" w:tgtFrame="_blank" w:history="1">
        <w:r w:rsidRPr="000558C2">
          <w:rPr>
            <w:rStyle w:val="Hyperlink"/>
          </w:rPr>
          <w:t>Pegatron</w:t>
        </w:r>
      </w:hyperlink>
      <w:r w:rsidRPr="000558C2">
        <w:t>, QCT, Wistron and Wiwynn. NIM microservices have also been integrated into </w:t>
      </w:r>
      <w:hyperlink r:id="rId28" w:tgtFrame="_blank" w:history="1">
        <w:r w:rsidRPr="000558C2">
          <w:rPr>
            <w:rStyle w:val="Hyperlink"/>
          </w:rPr>
          <w:t>Amazon Web Services</w:t>
        </w:r>
      </w:hyperlink>
      <w:r w:rsidRPr="000558C2">
        <w:t>, </w:t>
      </w:r>
      <w:hyperlink r:id="rId29" w:tgtFrame="_blank" w:history="1">
        <w:r w:rsidRPr="000558C2">
          <w:rPr>
            <w:rStyle w:val="Hyperlink"/>
          </w:rPr>
          <w:t>Google Cloud</w:t>
        </w:r>
      </w:hyperlink>
      <w:r w:rsidRPr="000558C2">
        <w:t>, </w:t>
      </w:r>
      <w:hyperlink r:id="rId30" w:tgtFrame="_blank" w:history="1">
        <w:r w:rsidRPr="000558C2">
          <w:rPr>
            <w:rStyle w:val="Hyperlink"/>
          </w:rPr>
          <w:t>Azure</w:t>
        </w:r>
      </w:hyperlink>
      <w:r w:rsidRPr="000558C2">
        <w:t> and </w:t>
      </w:r>
      <w:hyperlink r:id="rId31" w:tgtFrame="_blank" w:history="1">
        <w:r w:rsidRPr="000558C2">
          <w:rPr>
            <w:rStyle w:val="Hyperlink"/>
          </w:rPr>
          <w:t>Oracle Cloud Infrastructure</w:t>
        </w:r>
      </w:hyperlink>
      <w:r w:rsidRPr="000558C2">
        <w:t>.</w:t>
      </w:r>
    </w:p>
    <w:p w:rsidR="000558C2" w:rsidRPr="0004316E" w:rsidRDefault="000558C2" w:rsidP="0004316E"/>
    <w:sectPr w:rsidR="000558C2" w:rsidRPr="0004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51E3F"/>
    <w:multiLevelType w:val="multilevel"/>
    <w:tmpl w:val="D744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C7395"/>
    <w:multiLevelType w:val="multilevel"/>
    <w:tmpl w:val="D744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30667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33241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E"/>
    <w:rsid w:val="0004316E"/>
    <w:rsid w:val="000558C2"/>
    <w:rsid w:val="00DE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08AF"/>
  <w15:chartTrackingRefBased/>
  <w15:docId w15:val="{C4C702B7-3CD1-4502-B00D-AC6B2098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31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31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1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1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31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1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1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1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E"/>
    <w:rPr>
      <w:rFonts w:eastAsiaTheme="majorEastAsia" w:cstheme="majorBidi"/>
      <w:color w:val="272727" w:themeColor="text1" w:themeTint="D8"/>
    </w:rPr>
  </w:style>
  <w:style w:type="paragraph" w:styleId="Title">
    <w:name w:val="Title"/>
    <w:basedOn w:val="Normal"/>
    <w:next w:val="Normal"/>
    <w:link w:val="TitleChar"/>
    <w:uiPriority w:val="10"/>
    <w:qFormat/>
    <w:rsid w:val="00043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E"/>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E"/>
    <w:rPr>
      <w:i/>
      <w:iCs/>
      <w:color w:val="404040" w:themeColor="text1" w:themeTint="BF"/>
    </w:rPr>
  </w:style>
  <w:style w:type="paragraph" w:styleId="ListParagraph">
    <w:name w:val="List Paragraph"/>
    <w:basedOn w:val="Normal"/>
    <w:uiPriority w:val="34"/>
    <w:qFormat/>
    <w:rsid w:val="0004316E"/>
    <w:pPr>
      <w:ind w:left="720"/>
      <w:contextualSpacing/>
    </w:pPr>
  </w:style>
  <w:style w:type="character" w:styleId="IntenseEmphasis">
    <w:name w:val="Intense Emphasis"/>
    <w:basedOn w:val="DefaultParagraphFont"/>
    <w:uiPriority w:val="21"/>
    <w:qFormat/>
    <w:rsid w:val="0004316E"/>
    <w:rPr>
      <w:i/>
      <w:iCs/>
      <w:color w:val="2F5496" w:themeColor="accent1" w:themeShade="BF"/>
    </w:rPr>
  </w:style>
  <w:style w:type="paragraph" w:styleId="IntenseQuote">
    <w:name w:val="Intense Quote"/>
    <w:basedOn w:val="Normal"/>
    <w:next w:val="Normal"/>
    <w:link w:val="IntenseQuoteChar"/>
    <w:uiPriority w:val="30"/>
    <w:qFormat/>
    <w:rsid w:val="000431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16E"/>
    <w:rPr>
      <w:i/>
      <w:iCs/>
      <w:color w:val="2F5496" w:themeColor="accent1" w:themeShade="BF"/>
    </w:rPr>
  </w:style>
  <w:style w:type="character" w:styleId="IntenseReference">
    <w:name w:val="Intense Reference"/>
    <w:basedOn w:val="DefaultParagraphFont"/>
    <w:uiPriority w:val="32"/>
    <w:qFormat/>
    <w:rsid w:val="0004316E"/>
    <w:rPr>
      <w:b/>
      <w:bCs/>
      <w:smallCaps/>
      <w:color w:val="2F5496" w:themeColor="accent1" w:themeShade="BF"/>
      <w:spacing w:val="5"/>
    </w:rPr>
  </w:style>
  <w:style w:type="character" w:styleId="Emphasis">
    <w:name w:val="Emphasis"/>
    <w:basedOn w:val="DefaultParagraphFont"/>
    <w:uiPriority w:val="20"/>
    <w:qFormat/>
    <w:rsid w:val="000558C2"/>
    <w:rPr>
      <w:i/>
      <w:iCs/>
    </w:rPr>
  </w:style>
  <w:style w:type="character" w:styleId="Hyperlink">
    <w:name w:val="Hyperlink"/>
    <w:basedOn w:val="DefaultParagraphFont"/>
    <w:uiPriority w:val="99"/>
    <w:unhideWhenUsed/>
    <w:rsid w:val="000558C2"/>
    <w:rPr>
      <w:color w:val="0563C1" w:themeColor="hyperlink"/>
      <w:u w:val="single"/>
    </w:rPr>
  </w:style>
  <w:style w:type="character" w:styleId="UnresolvedMention">
    <w:name w:val="Unresolved Mention"/>
    <w:basedOn w:val="DefaultParagraphFont"/>
    <w:uiPriority w:val="99"/>
    <w:semiHidden/>
    <w:unhideWhenUsed/>
    <w:rsid w:val="00055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577090">
      <w:bodyDiv w:val="1"/>
      <w:marLeft w:val="0"/>
      <w:marRight w:val="0"/>
      <w:marTop w:val="0"/>
      <w:marBottom w:val="0"/>
      <w:divBdr>
        <w:top w:val="none" w:sz="0" w:space="0" w:color="auto"/>
        <w:left w:val="none" w:sz="0" w:space="0" w:color="auto"/>
        <w:bottom w:val="none" w:sz="0" w:space="0" w:color="auto"/>
        <w:right w:val="none" w:sz="0" w:space="0" w:color="auto"/>
      </w:divBdr>
    </w:div>
    <w:div w:id="1098058763">
      <w:bodyDiv w:val="1"/>
      <w:marLeft w:val="0"/>
      <w:marRight w:val="0"/>
      <w:marTop w:val="0"/>
      <w:marBottom w:val="0"/>
      <w:divBdr>
        <w:top w:val="none" w:sz="0" w:space="0" w:color="auto"/>
        <w:left w:val="none" w:sz="0" w:space="0" w:color="auto"/>
        <w:bottom w:val="none" w:sz="0" w:space="0" w:color="auto"/>
        <w:right w:val="none" w:sz="0" w:space="0" w:color="auto"/>
      </w:divBdr>
      <w:divsChild>
        <w:div w:id="1716664259">
          <w:marLeft w:val="0"/>
          <w:marRight w:val="0"/>
          <w:marTop w:val="450"/>
          <w:marBottom w:val="300"/>
          <w:divBdr>
            <w:top w:val="none" w:sz="0" w:space="0" w:color="auto"/>
            <w:left w:val="none" w:sz="0" w:space="0" w:color="auto"/>
            <w:bottom w:val="none" w:sz="0" w:space="0" w:color="auto"/>
            <w:right w:val="none" w:sz="0" w:space="0" w:color="auto"/>
          </w:divBdr>
        </w:div>
      </w:divsChild>
    </w:div>
    <w:div w:id="1489903965">
      <w:bodyDiv w:val="1"/>
      <w:marLeft w:val="0"/>
      <w:marRight w:val="0"/>
      <w:marTop w:val="0"/>
      <w:marBottom w:val="0"/>
      <w:divBdr>
        <w:top w:val="none" w:sz="0" w:space="0" w:color="auto"/>
        <w:left w:val="none" w:sz="0" w:space="0" w:color="auto"/>
        <w:bottom w:val="none" w:sz="0" w:space="0" w:color="auto"/>
        <w:right w:val="none" w:sz="0" w:space="0" w:color="auto"/>
      </w:divBdr>
      <w:divsChild>
        <w:div w:id="1740326943">
          <w:marLeft w:val="0"/>
          <w:marRight w:val="0"/>
          <w:marTop w:val="450"/>
          <w:marBottom w:val="300"/>
          <w:divBdr>
            <w:top w:val="none" w:sz="0" w:space="0" w:color="auto"/>
            <w:left w:val="none" w:sz="0" w:space="0" w:color="auto"/>
            <w:bottom w:val="none" w:sz="0" w:space="0" w:color="auto"/>
            <w:right w:val="none" w:sz="0" w:space="0" w:color="auto"/>
          </w:divBdr>
        </w:div>
      </w:divsChild>
    </w:div>
    <w:div w:id="1783651679">
      <w:bodyDiv w:val="1"/>
      <w:marLeft w:val="0"/>
      <w:marRight w:val="0"/>
      <w:marTop w:val="0"/>
      <w:marBottom w:val="0"/>
      <w:divBdr>
        <w:top w:val="none" w:sz="0" w:space="0" w:color="auto"/>
        <w:left w:val="none" w:sz="0" w:space="0" w:color="auto"/>
        <w:bottom w:val="none" w:sz="0" w:space="0" w:color="auto"/>
        <w:right w:val="none" w:sz="0" w:space="0" w:color="auto"/>
      </w:divBdr>
    </w:div>
    <w:div w:id="182801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nvidia.com/blog/llama-3-nim-healthcare-generative-ai" TargetMode="External"/><Relationship Id="rId18" Type="http://schemas.openxmlformats.org/officeDocument/2006/relationships/hyperlink" Target="https://www.latentview.com/press-release/latentview-analytics-accelerates-enterprise-solutions-with-nvidia-ai-enterprise/" TargetMode="External"/><Relationship Id="rId26" Type="http://schemas.openxmlformats.org/officeDocument/2006/relationships/hyperlink" Target="https://www.foxconn.com.tw/en-us/press-center/press-releases/latest-news" TargetMode="External"/><Relationship Id="rId3" Type="http://schemas.openxmlformats.org/officeDocument/2006/relationships/settings" Target="settings.xml"/><Relationship Id="rId21" Type="http://schemas.openxmlformats.org/officeDocument/2006/relationships/hyperlink" Target="https://www.hpe.com/us/en/newsroom/press-release/2024/03/hewlett-packard-enterprise-debuts-end-to-end-ai-native-portfolio-for-generative-ai.html" TargetMode="External"/><Relationship Id="rId7" Type="http://schemas.openxmlformats.org/officeDocument/2006/relationships/hyperlink" Target="https://www.cohesity.com/press/unlock-gen-ai-capabilities-via-nvidia-collaboration/" TargetMode="External"/><Relationship Id="rId12" Type="http://schemas.openxmlformats.org/officeDocument/2006/relationships/hyperlink" Target="https://ai.meta.com/blog/meta-llama-3/" TargetMode="External"/><Relationship Id="rId17" Type="http://schemas.openxmlformats.org/officeDocument/2006/relationships/hyperlink" Target="https://wandb.ai/site/press-release/integration-nvidia-nim" TargetMode="External"/><Relationship Id="rId25" Type="http://schemas.openxmlformats.org/officeDocument/2006/relationships/hyperlink" Target="https://www.gigabyte.com/Press/News/216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aturncloud.io/blog/deploying-generative-ai-on-saturn-cloud-using-nvidia-inference-microservices/?utm_source=nvidia&amp;utm_medium=press_release&amp;utm_campaign=computexpr" TargetMode="External"/><Relationship Id="rId20" Type="http://schemas.openxmlformats.org/officeDocument/2006/relationships/hyperlink" Target="https://www.dell.com/en-us/dt/corporate/newsroom/announcements/detailpage.press-releases~usa~2024~05~20240520-dell-technologies-expands-dell-ai-factory-with-nvidia-to-turbocharge-ai-adoption.htm" TargetMode="External"/><Relationship Id="rId29" Type="http://schemas.openxmlformats.org/officeDocument/2006/relationships/hyperlink" Target="https://nvidianews.nvidia.com/news/google-cloud-ai-development" TargetMode="External"/><Relationship Id="rId1" Type="http://schemas.openxmlformats.org/officeDocument/2006/relationships/numbering" Target="numbering.xml"/><Relationship Id="rId6" Type="http://schemas.openxmlformats.org/officeDocument/2006/relationships/hyperlink" Target="https://blog.cloudera.com/cloudera-introduces-ai-inference-service-with-nvidia-nim/" TargetMode="External"/><Relationship Id="rId11" Type="http://schemas.openxmlformats.org/officeDocument/2006/relationships/hyperlink" Target="https://huggingface.co/blog/train-dgx-cloud" TargetMode="External"/><Relationship Id="rId24" Type="http://schemas.openxmlformats.org/officeDocument/2006/relationships/hyperlink" Target="https://servers.asus.com/NEWS/ASUS-Presents-ESC-AI-POD-with-NVIDIA-GB200-NVL72-at-Computex-2024" TargetMode="External"/><Relationship Id="rId32" Type="http://schemas.openxmlformats.org/officeDocument/2006/relationships/fontTable" Target="fontTable.xml"/><Relationship Id="rId5" Type="http://schemas.openxmlformats.org/officeDocument/2006/relationships/hyperlink" Target="https://www.nvidia.com/en-us/ai/" TargetMode="External"/><Relationship Id="rId15" Type="http://schemas.openxmlformats.org/officeDocument/2006/relationships/hyperlink" Target="https://replicate.com/blog/run-nvidia-nim-models-on-replicate" TargetMode="External"/><Relationship Id="rId23" Type="http://schemas.openxmlformats.org/officeDocument/2006/relationships/hyperlink" Target="https://www.asrockrack.com/general/news.asp?id=239" TargetMode="External"/><Relationship Id="rId28" Type="http://schemas.openxmlformats.org/officeDocument/2006/relationships/hyperlink" Target="https://aws.amazon.com/about-aws/whats-new/2024/03/amazon-sagemaker-integration-nvidia-nim-microservices/" TargetMode="External"/><Relationship Id="rId10" Type="http://schemas.openxmlformats.org/officeDocument/2006/relationships/hyperlink" Target="https://news.synopsys.com/2024-03-18-Synopsys-Showcases-EDA-Performance-and-Next-Gen-Capabilities-with-NVIDIA-Accelerated-Computing,-Generative-AI-and-Omniverse" TargetMode="External"/><Relationship Id="rId19" Type="http://schemas.openxmlformats.org/officeDocument/2006/relationships/hyperlink" Target="https://www.nvidia.com/en-us/data-center/products/certified-systems/" TargetMode="External"/><Relationship Id="rId31" Type="http://schemas.openxmlformats.org/officeDocument/2006/relationships/hyperlink" Target="https://nvidianews.nvidia.com/news/oracle-nvidia-sovereign-ai" TargetMode="External"/><Relationship Id="rId4" Type="http://schemas.openxmlformats.org/officeDocument/2006/relationships/webSettings" Target="webSettings.xml"/><Relationship Id="rId9" Type="http://schemas.openxmlformats.org/officeDocument/2006/relationships/hyperlink" Target="https://www.netapp.com/newsroom/press-releases/news-rel-20240514-813887/" TargetMode="External"/><Relationship Id="rId14" Type="http://schemas.openxmlformats.org/officeDocument/2006/relationships/hyperlink" Target="https://www.llamaindex.ai/blog/llamaindex-accelerates-enterprise-generative-ai-with-nvidia-nim" TargetMode="External"/><Relationship Id="rId22" Type="http://schemas.openxmlformats.org/officeDocument/2006/relationships/hyperlink" Target="https://news.lenovo.com/netapp-and-lenovo-offer-converged-infrastructure-solution-optimized-for-genai/" TargetMode="External"/><Relationship Id="rId27" Type="http://schemas.openxmlformats.org/officeDocument/2006/relationships/hyperlink" Target="https://svr.pegatroncorp.com/News/6" TargetMode="External"/><Relationship Id="rId30" Type="http://schemas.openxmlformats.org/officeDocument/2006/relationships/hyperlink" Target="https://news.microsoft.com/2024/03/18/microsoft-and-nvidia-announce-major-integrations-to-accelerate-generative-ai-for-enterprises-everywhere/" TargetMode="External"/><Relationship Id="rId8" Type="http://schemas.openxmlformats.org/officeDocument/2006/relationships/hyperlink" Target="https://www.datastax.com/press-release/datastax-to-deliver-high-performance-rag-solution-with-20x-faster-embeddings-and-indexing-at-80-lower-cost-using-nvidia-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2</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Rajarathinam</dc:creator>
  <cp:keywords/>
  <dc:description/>
  <cp:lastModifiedBy>Sharanya Rajarathinam</cp:lastModifiedBy>
  <cp:revision>1</cp:revision>
  <dcterms:created xsi:type="dcterms:W3CDTF">2025-01-11T01:08:00Z</dcterms:created>
  <dcterms:modified xsi:type="dcterms:W3CDTF">2025-01-12T03:13:00Z</dcterms:modified>
</cp:coreProperties>
</file>