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360"/>
        <w:jc w:val="center"/>
      </w:pPr>
      <w:r>
        <w:rPr>
          <w:rFonts w:ascii="Liberation Sans" w:hAnsi="Liberation Sans"/>
          <w:b/>
          <w:i w:val="0"/>
          <w:color w:val="5F6973"/>
          <w:sz w:val="34"/>
        </w:rPr>
        <w:t>FANTASY VOXEL CIVILISATION SANDBOX</w:t>
      </w:r>
    </w:p>
    <w:p>
      <w:pPr>
        <w:spacing w:after="200"/>
        <w:jc w:val="center"/>
      </w:pPr>
      <w:r>
        <w:rPr>
          <w:rFonts w:ascii="Liberation Sans" w:hAnsi="Liberation Sans"/>
          <w:b/>
          <w:i w:val="0"/>
          <w:color w:val="1F4E78"/>
          <w:sz w:val="42"/>
        </w:rPr>
        <w:t>DOCUMENT SET 25</w:t>
      </w:r>
    </w:p>
    <w:p>
      <w:pPr>
        <w:spacing w:after="260"/>
        <w:jc w:val="center"/>
      </w:pPr>
      <w:r>
        <w:rPr>
          <w:rFonts w:ascii="Liberation Sans" w:hAnsi="Liberation Sans"/>
          <w:b/>
          <w:i w:val="0"/>
          <w:color w:val="1F4E78"/>
          <w:sz w:val="48"/>
        </w:rPr>
        <w:t>25A - Post-Atlas Production Governance,</w:t>
        <w:br/>
        <w:t>POC Retirement Baseline and Decision Register</w:t>
      </w:r>
    </w:p>
    <w:p>
      <w:pPr>
        <w:spacing w:after="600"/>
        <w:jc w:val="center"/>
      </w:pPr>
      <w:r>
        <w:rPr>
          <w:rFonts w:ascii="Liberation Sans" w:hAnsi="Liberation Sans"/>
          <w:b w:val="0"/>
          <w:i/>
          <w:color w:val="5F6973"/>
          <w:sz w:val="26"/>
        </w:rPr>
        <w:t>Version 0.2 - Maritime Integration Amendment Draft</w:t>
      </w:r>
    </w:p>
    <w:p>
      <w:pPr>
        <w:spacing w:after="900"/>
        <w:ind w:left="720" w:right="720"/>
        <w:jc w:val="center"/>
      </w:pPr>
      <w:r>
        <w:rPr>
          <w:rFonts w:ascii="Liberation Sans" w:hAnsi="Liberation Sans"/>
          <w:b w:val="0"/>
          <w:i w:val="0"/>
          <w:color w:val="202E3E"/>
          <w:sz w:val="20"/>
        </w:rPr>
        <w:t>A production-control document for retiring the proof of concept, establishing the post-Atlas baseline, protecting source-of-truth ownership, governing major-expansion admission and controlling the integration of Document Set 26 into validated Godot/Summer Engine production.</w:t>
      </w:r>
    </w:p>
    <w:p>
      <w:pPr>
        <w:spacing w:after="60"/>
        <w:jc w:val="center"/>
      </w:pPr>
      <w:r>
        <w:rPr>
          <w:rFonts w:ascii="Liberation Sans" w:hAnsi="Liberation Sans"/>
          <w:b/>
          <w:i w:val="0"/>
          <w:color w:val="202E3E"/>
          <w:sz w:val="20"/>
        </w:rPr>
        <w:t>Project Lead and Final Authority: Ash</w:t>
      </w:r>
    </w:p>
    <w:p>
      <w:pPr>
        <w:jc w:val="center"/>
      </w:pPr>
      <w:r>
        <w:rPr>
          <w:rFonts w:ascii="Liberation Sans" w:hAnsi="Liberation Sans"/>
          <w:b w:val="0"/>
          <w:i w:val="0"/>
          <w:color w:val="5F6973"/>
          <w:sz w:val="17"/>
        </w:rPr>
        <w:t>Architecture, systems planning, documentation and production support: GPT-5.6 Thinking</w:t>
      </w:r>
    </w:p>
    <w:p>
      <w:r>
        <w:br w:type="page"/>
      </w:r>
    </w:p>
    <w:tbl>
      <w:tblPr>
        <w:tblW w:type="auto" w:w="0"/>
        <w:jc w:val="center"/>
        <w:tblLayout w:type="fixed"/>
        <w:tblLook w:firstColumn="1" w:firstRow="1" w:lastColumn="0" w:lastRow="0" w:noHBand="0" w:noVBand="1" w:val="04A0"/>
      </w:tblPr>
      <w:tblGrid>
        <w:gridCol w:w="9831"/>
      </w:tblGrid>
      <w:tr>
        <w:tc>
          <w:tcPr>
            <w:tcW w:type="dxa" w:w="9648"/>
            <w:tcMar>
              <w:top w:w="75" w:type="dxa"/>
              <w:start w:w="90" w:type="dxa"/>
              <w:bottom w:w="75" w:type="dxa"/>
              <w:end w:w="90" w:type="dxa"/>
            </w:tcMar>
            <w:shd w:fill="1F4E78"/>
          </w:tcPr>
          <w:p>
            <w:r/>
            <w:r>
              <w:rPr>
                <w:rFonts w:ascii="Liberation Sans" w:hAnsi="Liberation Sans"/>
                <w:b/>
                <w:i w:val="0"/>
                <w:color w:val="FFFFFF"/>
                <w:sz w:val="18"/>
              </w:rPr>
              <w:t>Production Governance Statement</w:t>
            </w:r>
          </w:p>
        </w:tc>
      </w:tr>
      <w:tr>
        <w:tc>
          <w:tcPr>
            <w:tcW w:type="dxa" w:w="9648"/>
            <w:tcMar>
              <w:top w:w="75" w:type="dxa"/>
              <w:start w:w="90" w:type="dxa"/>
              <w:bottom w:w="75" w:type="dxa"/>
              <w:end w:w="90" w:type="dxa"/>
            </w:tcMar>
            <w:shd w:fill="DCE6F1"/>
          </w:tcPr>
          <w:p>
            <w:r/>
            <w:r>
              <w:rPr>
                <w:rFonts w:ascii="Liberation Sans" w:hAnsi="Liberation Sans"/>
                <w:b w:val="0"/>
                <w:i w:val="0"/>
                <w:color w:val="202E3E"/>
                <w:sz w:val="17"/>
              </w:rPr>
              <w:t>The proof of concept has completed its purpose. Production now begins from a clean, seed-generated, data-driven baseline. No normal world, registry, task, asset manifest, quest, event, structure, portal route, fallback, or code branch may depend on retired POC identities or fixed arrangements. Every selected production package must have a stable owner, explicit dependencies, physical inputs and outputs, capability fallbacks, validation evidence, presentation requirements, and approval status. Approved major expansion programmes, including Document Set 26, enter through the same governance, identity, packaging, migration, validation and release-admission spine while retaining their own system-design authority.</w:t>
            </w:r>
          </w:p>
        </w:tc>
      </w:tr>
    </w:tbl>
    <w:p>
      <w:pPr>
        <w:spacing w:after="0"/>
      </w:pPr>
    </w:p>
    <w:tbl>
      <w:tblPr>
        <w:tblStyle w:val="TableGrid"/>
        <w:tblW w:type="auto" w:w="0"/>
        <w:jc w:val="center"/>
        <w:tblLayout w:type="fixed"/>
        <w:tblLook w:firstColumn="1" w:firstRow="1" w:lastColumn="0" w:lastRow="0" w:noHBand="0" w:noVBand="1" w:val="04A0"/>
      </w:tblPr>
      <w:tblGrid>
        <w:gridCol w:w="4915"/>
        <w:gridCol w:w="4915"/>
      </w:tblGrid>
      <w:tr>
        <w:trPr>
          <w:tblHeader w:val="true"/>
          <w:cantSplit w:val="true"/>
        </w:trPr>
        <w:tc>
          <w:tcPr>
            <w:tcW w:type="dxa" w:w="2520"/>
            <w:shd w:fill="1F4E78"/>
            <w:tcMar>
              <w:top w:w="55" w:type="dxa"/>
              <w:start w:w="70" w:type="dxa"/>
              <w:bottom w:w="55" w:type="dxa"/>
              <w:end w:w="70" w:type="dxa"/>
            </w:tcMar>
            <w:vAlign w:val="center"/>
          </w:tcPr>
          <w:p>
            <w:pPr>
              <w:spacing w:after="0"/>
            </w:pPr>
            <w:r/>
            <w:r>
              <w:rPr>
                <w:rFonts w:ascii="Liberation Sans" w:hAnsi="Liberation Sans"/>
                <w:b/>
                <w:i w:val="0"/>
                <w:color w:val="FFFFFF"/>
                <w:sz w:val="16"/>
              </w:rPr>
              <w:t>Field</w:t>
            </w:r>
          </w:p>
        </w:tc>
        <w:tc>
          <w:tcPr>
            <w:tcW w:type="dxa" w:w="7128"/>
            <w:shd w:fill="1F4E78"/>
            <w:tcMar>
              <w:top w:w="55" w:type="dxa"/>
              <w:start w:w="70" w:type="dxa"/>
              <w:bottom w:w="55" w:type="dxa"/>
              <w:end w:w="70" w:type="dxa"/>
            </w:tcMar>
            <w:vAlign w:val="center"/>
          </w:tcPr>
          <w:p>
            <w:pPr>
              <w:spacing w:after="0"/>
            </w:pPr>
            <w:r/>
            <w:r>
              <w:rPr>
                <w:rFonts w:ascii="Liberation Sans" w:hAnsi="Liberation Sans"/>
                <w:b/>
                <w:i w:val="0"/>
                <w:color w:val="FFFFFF"/>
                <w:sz w:val="16"/>
              </w:rPr>
              <w:t>Locked Direction</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Document Scope</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Post-Atlas production governance, POC retirement baseline, archive/test separation, authority hierarchy, decision register, change control, milestone admission, evidence requirements, document revision governance, major-expansion admission, parallel-development control, integration closure and immediate creation sequence.</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Primary Authority</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Document 24L is the roadmap and production-integration authority. Document 24A owns Atlas foundations, topology, procedural content rules and POC supersession principles. Documents 24B-24K own their respective Atlas domains. Document 24C is the primary Atlas authority for ocean, coast, island, underwater and marine-environment context. Ash's approved Set 26 direction governs the maritime programme until its own documents are approved.</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POC Direction</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The POC is archived as historical and regression-test material only. Forest Hamlet, fixed valley, named POC villagers, watchtower project, scripted goblin raid, fixed cave/ruin/camp arrangement and fixed portal destination are excluded from normal production.</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Engine Direction</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Godot using Summer Engine. Unreal-specific implementation assumptions are obsolete; stable IDs, data-driven architecture, deterministic generation, seed-plus-delta persistence, LOD, authority, validation, testing and migration principles may be retained.</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Production Direction</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Create complete relationship packages rather than isolated content lists. Classify Atlas foundations before expanding Blocks, Items, Recipes, assets or implementation.</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Approved Major Expansion</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Document Set 26 - Oceans, Maritime Civilisation, Vessels and Naval Systems Expansion - is a separate approved programme. It extends existing authorities and does not replace or become part of Document Set 25.</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Parallel Development</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Set 25 remains the production spine. Early Set 26 documents may proceed in parallel after respecting 25B and later Set 25 contracts; registry-heavy and technical Set 26 work may not invent incompatible identity, schema, packaging, migration or validation rules.</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Closure Direction</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Document 25A receives this controlled amendment now and a later final integration revision. Final Set 25 closure is not complete until approved Set 26 outputs are admitted, deferred or explicitly excluded through recorded gates.</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Governance Direction</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Ash retains final authority over scope, canon, major system decisions, representation, licensing, milestone approval and release readiness.</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Implementation Boundary</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This document authorises planning and document conversion only. It does not begin production implementation or declare any registry, tool, asset pipeline or runtime system complete.</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Next Deliverable</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Amended 25B - Canonical Registry Kernel, Stable IDs, Namespaces and Source-of-Truth Ownership v0.2; then 25C.</w:t>
            </w:r>
          </w:p>
        </w:tc>
      </w:tr>
    </w:tbl>
    <w:p>
      <w:pPr>
        <w:spacing w:after="0"/>
      </w:pPr>
    </w:p>
    <w:p>
      <w:pPr>
        <w:pStyle w:val="Heading1"/>
        <w:keepNext/>
      </w:pPr>
      <w:r>
        <w:t>Revision History</w:t>
      </w:r>
    </w:p>
    <w:tbl>
      <w:tblPr>
        <w:tblStyle w:val="TableGrid"/>
        <w:tblW w:type="auto" w:w="0"/>
        <w:jc w:val="center"/>
        <w:tblLayout w:type="fixed"/>
        <w:tblLook w:firstColumn="1" w:firstRow="1" w:lastColumn="0" w:lastRow="0" w:noHBand="0" w:noVBand="1" w:val="04A0"/>
      </w:tblPr>
      <w:tblGrid>
        <w:gridCol w:w="3277"/>
        <w:gridCol w:w="3277"/>
        <w:gridCol w:w="3277"/>
      </w:tblGrid>
      <w:tr>
        <w:trPr>
          <w:tblHeader w:val="true"/>
          <w:cantSplit w:val="true"/>
        </w:trPr>
        <w:tc>
          <w:tcPr>
            <w:tcW w:type="dxa" w:w="2304"/>
            <w:shd w:fill="1F4E78"/>
            <w:tcMar>
              <w:top w:w="55" w:type="dxa"/>
              <w:start w:w="70" w:type="dxa"/>
              <w:bottom w:w="55" w:type="dxa"/>
              <w:end w:w="70" w:type="dxa"/>
            </w:tcMar>
            <w:vAlign w:val="center"/>
          </w:tcPr>
          <w:p>
            <w:pPr>
              <w:spacing w:after="0"/>
            </w:pPr>
            <w:r/>
            <w:r>
              <w:rPr>
                <w:rFonts w:ascii="Liberation Sans" w:hAnsi="Liberation Sans"/>
                <w:b/>
                <w:i w:val="0"/>
                <w:color w:val="FFFFFF"/>
                <w:sz w:val="16"/>
              </w:rPr>
              <w:t>Version</w:t>
            </w:r>
          </w:p>
        </w:tc>
        <w:tc>
          <w:tcPr>
            <w:tcW w:type="dxa" w:w="3528"/>
            <w:shd w:fill="1F4E78"/>
            <w:tcMar>
              <w:top w:w="55" w:type="dxa"/>
              <w:start w:w="70" w:type="dxa"/>
              <w:bottom w:w="55" w:type="dxa"/>
              <w:end w:w="70" w:type="dxa"/>
            </w:tcMar>
            <w:vAlign w:val="center"/>
          </w:tcPr>
          <w:p>
            <w:pPr>
              <w:spacing w:after="0"/>
            </w:pPr>
            <w:r/>
            <w:r>
              <w:rPr>
                <w:rFonts w:ascii="Liberation Sans" w:hAnsi="Liberation Sans"/>
                <w:b/>
                <w:i w:val="0"/>
                <w:color w:val="FFFFFF"/>
                <w:sz w:val="16"/>
              </w:rPr>
              <w:t>Status</w:t>
            </w:r>
          </w:p>
        </w:tc>
        <w:tc>
          <w:tcPr>
            <w:tcW w:type="dxa" w:w="3816"/>
            <w:shd w:fill="1F4E78"/>
            <w:tcMar>
              <w:top w:w="55" w:type="dxa"/>
              <w:start w:w="70" w:type="dxa"/>
              <w:bottom w:w="55" w:type="dxa"/>
              <w:end w:w="70" w:type="dxa"/>
            </w:tcMar>
            <w:vAlign w:val="center"/>
          </w:tcPr>
          <w:p>
            <w:pPr>
              <w:spacing w:after="0"/>
            </w:pPr>
            <w:r/>
            <w:r>
              <w:rPr>
                <w:rFonts w:ascii="Liberation Sans" w:hAnsi="Liberation Sans"/>
                <w:b/>
                <w:i w:val="0"/>
                <w:color w:val="FFFFFF"/>
                <w:sz w:val="16"/>
              </w:rPr>
              <w:t>Summary</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0.1</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Original Production Governance Foundation Draft</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Established POC retirement, authority, lifecycle, production tiers, Set 25 roadmap, registry-first production and pre-implementation governance.</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0.2</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Maritime Integration Amendment Draft</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Formally recognises Document Set 26; adds major-expansion admission, parallel-development rules, 25B stability dependency, maritime ownership boundaries, cross-pack validation, integration checkpoints, closure conditions, downstream amendment tracking and new decision-register entries. No maritime gameplay system is designed or transferred into Set 25.</w:t>
            </w:r>
          </w:p>
        </w:tc>
      </w:tr>
    </w:tbl>
    <w:p>
      <w:pPr>
        <w:spacing w:after="0"/>
      </w:pPr>
    </w:p>
    <w:p>
      <w:pPr>
        <w:pStyle w:val="Heading1"/>
        <w:keepNext/>
      </w:pPr>
      <w:r>
        <w:t>Document Purpose</w:t>
      </w:r>
    </w:p>
    <w:p>
      <w:pPr>
        <w:widowControl/>
      </w:pPr>
      <w:r>
        <w:rPr>
          <w:rFonts w:ascii="Liberation Sans" w:hAnsi="Liberation Sans"/>
          <w:b w:val="0"/>
          <w:i w:val="0"/>
          <w:color w:val="202E3E"/>
          <w:sz w:val="18"/>
        </w:rPr>
        <w:t>This document begins Document Set 25 and establishes the control layer for the entire post-Atlas production phase. It turns the Atlas roadmap into an auditable production baseline before registry expansion or implementation begins. Its purpose is to ensure that the project does not carry demonstration-only assumptions into production, does not confuse Atlas breadth with implementable scope, and does not allow duplicate or unsupported source-of-truth definitions to emerge during revision. Version 0.2 also establishes how a separately owned major expansion, Document Set 26, may develop alongside the production spine without duplicating maritime design inside Set 25 or bypassing its registry, packaging, migration, validation and release controls.</w:t>
      </w:r>
    </w:p>
    <w:p>
      <w:pPr>
        <w:widowControl/>
      </w:pPr>
      <w:r>
        <w:rPr>
          <w:rFonts w:ascii="Liberation Sans" w:hAnsi="Liberation Sans"/>
          <w:b w:val="0"/>
          <w:i w:val="0"/>
          <w:color w:val="202E3E"/>
          <w:sz w:val="18"/>
        </w:rPr>
        <w:t>Document 25A does not select the final Core Production content roster, define machine-readable schemas, rewrite the Technical Plan, enumerate the new Blocks and Items registries, or design oceans, vessels, maritime civilisation or naval combat. Those responsibilities belong to later Set 25 documents, replacement versions of the main design documents and Document Set 26. This document defines the governance conditions under which that work may proceed and later be integrated.</w:t>
      </w:r>
    </w:p>
    <w:p>
      <w:pPr>
        <w:pStyle w:val="Heading1"/>
        <w:keepNext/>
      </w:pPr>
      <w:r>
        <w:t>Design Sources and Supersession Rules</w:t>
      </w:r>
    </w:p>
    <w:tbl>
      <w:tblPr>
        <w:tblStyle w:val="TableGrid"/>
        <w:tblW w:type="auto" w:w="0"/>
        <w:jc w:val="center"/>
        <w:tblLayout w:type="fixed"/>
        <w:tblLook w:firstColumn="1" w:firstRow="1" w:lastColumn="0" w:lastRow="0" w:noHBand="0" w:noVBand="1" w:val="04A0"/>
      </w:tblPr>
      <w:tblGrid>
        <w:gridCol w:w="4915"/>
        <w:gridCol w:w="4915"/>
      </w:tblGrid>
      <w:tr>
        <w:trPr>
          <w:tblHeader w:val="true"/>
          <w:cantSplit w:val="true"/>
        </w:trPr>
        <w:tc>
          <w:tcPr>
            <w:tcW w:type="dxa" w:w="2520"/>
            <w:shd w:fill="1F4E78"/>
            <w:tcMar>
              <w:top w:w="55" w:type="dxa"/>
              <w:start w:w="70" w:type="dxa"/>
              <w:bottom w:w="55" w:type="dxa"/>
              <w:end w:w="70" w:type="dxa"/>
            </w:tcMar>
            <w:vAlign w:val="center"/>
          </w:tcPr>
          <w:p>
            <w:pPr>
              <w:spacing w:after="0"/>
            </w:pPr>
            <w:r/>
            <w:r>
              <w:rPr>
                <w:rFonts w:ascii="Liberation Sans" w:hAnsi="Liberation Sans"/>
                <w:b/>
                <w:i w:val="0"/>
                <w:color w:val="FFFFFF"/>
                <w:sz w:val="16"/>
              </w:rPr>
              <w:t>Source</w:t>
            </w:r>
          </w:p>
        </w:tc>
        <w:tc>
          <w:tcPr>
            <w:tcW w:type="dxa" w:w="7128"/>
            <w:shd w:fill="1F4E78"/>
            <w:tcMar>
              <w:top w:w="55" w:type="dxa"/>
              <w:start w:w="70" w:type="dxa"/>
              <w:bottom w:w="55" w:type="dxa"/>
              <w:end w:w="70" w:type="dxa"/>
            </w:tcMar>
            <w:vAlign w:val="center"/>
          </w:tcPr>
          <w:p>
            <w:pPr>
              <w:spacing w:after="0"/>
            </w:pPr>
            <w:r/>
            <w:r>
              <w:rPr>
                <w:rFonts w:ascii="Liberation Sans" w:hAnsi="Liberation Sans"/>
                <w:b/>
                <w:i w:val="0"/>
                <w:color w:val="FFFFFF"/>
                <w:sz w:val="16"/>
              </w:rPr>
              <w:t>Authority Used by 25A</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00-02 - Vision, Loop and Progression</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Preserve the four-pillar identity, sandbox freedom, multi-track progression and living-world promise. Active POC scope is superseded.</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03-06 - Blocks, Items, Recipes and Resources</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Preserve reusable registry architecture and physical-resource logic. POC status columns, fixed chains and outdated numbering are not production authority.</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07-17 - Gameplay Systems</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Preserve reusable system boundaries and behaviours. Fixed Forest Hamlet, watchtower, raid, portal and tutorial assumptions are superseded.</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18 - Technical Implementation Plan v0.1</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Retain engine-agnostic architecture principles only. Unreal Engine, C++/Blueprint, World Partition and POC implementation assumptions are obsolete.</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24A - Atlas Foundations</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Primary authority for post-POC supersession, deterministic seed philosophy, relationship graphs, topology, progression fallbacks, saves and world-content authoring rules.</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24B-24K - Atlas Domains</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Primary authority for world context, ecology, culture, distribution, history, relationships, suitability and package foundations.</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24C - Oceans, Coasts, Islands and Special Overworld Biomes</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Primary Atlas authority for ocean basins, seas, coasts, islands, underwater regions, marine climate, currents, tides, water states, marine routes, ports, ecology, structures and environment-specific production requirements.</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Approved Document Set 26 Direction</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Locked authority for creating a separate maritime and naval expansion covering water/liquids, oceans, vessels, maritime civilisation, naval systems, registries, technical implementation and downstream amendments. Detailed system contracts remain owned by 26A-26O as approved.</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24L - Registry, Budgets and Roadmap</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Primary authority for integration policy, lifecycle, production tiers, package contracts, validation, revision roadmap and milestone sequence.</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Forge, Audio and VFX Sets</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Own authoring workflows and detailed asset schemas. Set 25 governs production intake, manifests, attachment points, budgets and acceptance evidence. Vessel Forge and vessel-blueprint authoring remain Set 26 extensions of the established Forge architecture.</w:t>
            </w:r>
          </w:p>
        </w:tc>
      </w:tr>
    </w:tbl>
    <w:p>
      <w:pPr>
        <w:spacing w:after="0"/>
      </w:pPr>
    </w:p>
    <w:tbl>
      <w:tblPr>
        <w:tblW w:type="auto" w:w="0"/>
        <w:jc w:val="center"/>
        <w:tblLayout w:type="fixed"/>
        <w:tblLook w:firstColumn="1" w:firstRow="1" w:lastColumn="0" w:lastRow="0" w:noHBand="0" w:noVBand="1" w:val="04A0"/>
      </w:tblPr>
      <w:tblGrid>
        <w:gridCol w:w="9831"/>
      </w:tblGrid>
      <w:tr>
        <w:tc>
          <w:tcPr>
            <w:tcW w:type="dxa" w:w="9648"/>
            <w:tcMar>
              <w:top w:w="75" w:type="dxa"/>
              <w:start w:w="90" w:type="dxa"/>
              <w:bottom w:w="75" w:type="dxa"/>
              <w:end w:w="90" w:type="dxa"/>
            </w:tcMar>
            <w:shd w:fill="1F4E78"/>
          </w:tcPr>
          <w:p>
            <w:r/>
            <w:r>
              <w:rPr>
                <w:rFonts w:ascii="Liberation Sans" w:hAnsi="Liberation Sans"/>
                <w:b/>
                <w:i w:val="0"/>
                <w:color w:val="FFFFFF"/>
                <w:sz w:val="18"/>
              </w:rPr>
              <w:t>Supersession Rule</w:t>
            </w:r>
          </w:p>
        </w:tc>
      </w:tr>
      <w:tr>
        <w:tc>
          <w:tcPr>
            <w:tcW w:type="dxa" w:w="9648"/>
            <w:tcMar>
              <w:top w:w="75" w:type="dxa"/>
              <w:start w:w="90" w:type="dxa"/>
              <w:bottom w:w="75" w:type="dxa"/>
              <w:end w:w="90" w:type="dxa"/>
            </w:tcMar>
            <w:shd w:fill="DCE6F1"/>
          </w:tcPr>
          <w:p>
            <w:r/>
            <w:r>
              <w:rPr>
                <w:rFonts w:ascii="Liberation Sans" w:hAnsi="Liberation Sans"/>
                <w:b w:val="0"/>
                <w:i w:val="0"/>
                <w:color w:val="202E3E"/>
                <w:sz w:val="17"/>
              </w:rPr>
              <w:t xml:space="preserve">Whenever an older document requires a named POC person, location, biome, structure, raid, quest, resource chain, dungeon, boss, coordinate, timing sequence, portal destination, or guaranteed relationship, archive the named content and retain only the reusable mechanic. No production definition may depend on a POC ID, coordinate, sequence, or fixed arrangement. </w:t>
            </w:r>
            <w:r>
              <w:rPr>
                <w:rFonts w:ascii="Liberation Sans" w:hAnsi="Liberation Sans"/>
                <w:b/>
                <w:i w:val="0"/>
                <w:color w:val="202E3E"/>
                <w:sz w:val="17"/>
              </w:rPr>
              <w:t>Expansion Boundary Rule</w:t>
            </w:r>
            <w:r>
              <w:rPr>
                <w:rFonts w:ascii="Liberation Sans" w:hAnsi="Liberation Sans"/>
                <w:b w:val="0"/>
                <w:i w:val="0"/>
                <w:color w:val="202E3E"/>
                <w:sz w:val="17"/>
              </w:rPr>
              <w:t xml:space="preserve"> Document Set 26 may extend the Atlas, registries, gameplay systems, Forge and technical architecture through approved references and extension facets. It may not replace Set 25 governance, create a competing registry kernel, silently redefine main-document ownership, or require maritime design to be duplicated inside Set 25.</w:t>
            </w:r>
          </w:p>
        </w:tc>
      </w:tr>
    </w:tbl>
    <w:p>
      <w:pPr>
        <w:spacing w:after="0"/>
      </w:pPr>
    </w:p>
    <w:p>
      <w:pPr>
        <w:pStyle w:val="Heading1"/>
        <w:keepNext/>
      </w:pPr>
      <w:r>
        <w:t>Static Table of Contents</w:t>
      </w:r>
    </w:p>
    <w:p>
      <w:pPr>
        <w:pStyle w:val="Compact"/>
        <w:ind w:left="245" w:hanging="202"/>
      </w:pPr>
      <w:r>
        <w:rPr>
          <w:rFonts w:ascii="Liberation Sans" w:hAnsi="Liberation Sans"/>
          <w:b w:val="0"/>
          <w:i w:val="0"/>
          <w:color w:val="202E3E"/>
          <w:sz w:val="17"/>
        </w:rPr>
        <w:t>• Revision History</w:t>
      </w:r>
    </w:p>
    <w:p>
      <w:pPr>
        <w:pStyle w:val="Compact"/>
        <w:ind w:left="245" w:hanging="202"/>
      </w:pPr>
      <w:r>
        <w:rPr>
          <w:rFonts w:ascii="Liberation Sans" w:hAnsi="Liberation Sans"/>
          <w:b w:val="0"/>
          <w:i w:val="0"/>
          <w:color w:val="202E3E"/>
          <w:sz w:val="17"/>
        </w:rPr>
        <w:t>• 1. Locked Production Governance Identity</w:t>
      </w:r>
    </w:p>
    <w:p>
      <w:pPr>
        <w:pStyle w:val="Compact"/>
        <w:ind w:left="245" w:hanging="202"/>
      </w:pPr>
      <w:r>
        <w:rPr>
          <w:rFonts w:ascii="Liberation Sans" w:hAnsi="Liberation Sans"/>
          <w:b w:val="0"/>
          <w:i w:val="0"/>
          <w:color w:val="202E3E"/>
          <w:sz w:val="17"/>
        </w:rPr>
        <w:t>• 2. Source-Derived Direction and Recommendation Boundary</w:t>
      </w:r>
    </w:p>
    <w:p>
      <w:pPr>
        <w:pStyle w:val="Compact"/>
        <w:ind w:left="245" w:hanging="202"/>
      </w:pPr>
      <w:r>
        <w:rPr>
          <w:rFonts w:ascii="Liberation Sans" w:hAnsi="Liberation Sans"/>
          <w:b w:val="0"/>
          <w:i w:val="0"/>
          <w:color w:val="202E3E"/>
          <w:sz w:val="17"/>
        </w:rPr>
        <w:t>• 3. Document Set 25 Map and Document 25A Role</w:t>
      </w:r>
    </w:p>
    <w:p>
      <w:pPr>
        <w:pStyle w:val="Compact"/>
        <w:ind w:left="245" w:hanging="202"/>
      </w:pPr>
      <w:r>
        <w:rPr>
          <w:rFonts w:ascii="Liberation Sans" w:hAnsi="Liberation Sans"/>
          <w:b w:val="0"/>
          <w:i w:val="0"/>
          <w:color w:val="202E3E"/>
          <w:sz w:val="17"/>
        </w:rPr>
        <w:t>• 3.1 Document Set 26 Identity and Boundary</w:t>
      </w:r>
    </w:p>
    <w:p>
      <w:pPr>
        <w:pStyle w:val="Compact"/>
        <w:ind w:left="245" w:hanging="202"/>
      </w:pPr>
      <w:r>
        <w:rPr>
          <w:rFonts w:ascii="Liberation Sans" w:hAnsi="Liberation Sans"/>
          <w:b w:val="0"/>
          <w:i w:val="0"/>
          <w:color w:val="202E3E"/>
          <w:sz w:val="17"/>
        </w:rPr>
        <w:t>• 3.2 Parallel Development and Dependency Model</w:t>
      </w:r>
    </w:p>
    <w:p>
      <w:pPr>
        <w:pStyle w:val="Compact"/>
        <w:ind w:left="245" w:hanging="202"/>
      </w:pPr>
      <w:r>
        <w:rPr>
          <w:rFonts w:ascii="Liberation Sans" w:hAnsi="Liberation Sans"/>
          <w:b w:val="0"/>
          <w:i w:val="0"/>
          <w:color w:val="202E3E"/>
          <w:sz w:val="17"/>
        </w:rPr>
        <w:t>• 3.3 Working Document Set 26 Reference Structure</w:t>
      </w:r>
    </w:p>
    <w:p>
      <w:pPr>
        <w:pStyle w:val="Compact"/>
        <w:ind w:left="245" w:hanging="202"/>
      </w:pPr>
      <w:r>
        <w:rPr>
          <w:rFonts w:ascii="Liberation Sans" w:hAnsi="Liberation Sans"/>
          <w:b w:val="0"/>
          <w:i w:val="0"/>
          <w:color w:val="202E3E"/>
          <w:sz w:val="17"/>
        </w:rPr>
        <w:t>• 4. Authority Hierarchy and Final Decision Rights</w:t>
      </w:r>
    </w:p>
    <w:p>
      <w:pPr>
        <w:pStyle w:val="Compact"/>
        <w:ind w:left="245" w:hanging="202"/>
      </w:pPr>
      <w:r>
        <w:rPr>
          <w:rFonts w:ascii="Liberation Sans" w:hAnsi="Liberation Sans"/>
          <w:b w:val="0"/>
          <w:i w:val="0"/>
          <w:color w:val="202E3E"/>
          <w:sz w:val="17"/>
        </w:rPr>
        <w:t>• 5. Post-POC Production Boundary</w:t>
      </w:r>
    </w:p>
    <w:p>
      <w:pPr>
        <w:pStyle w:val="Compact"/>
        <w:ind w:left="245" w:hanging="202"/>
      </w:pPr>
      <w:r>
        <w:rPr>
          <w:rFonts w:ascii="Liberation Sans" w:hAnsi="Liberation Sans"/>
          <w:b w:val="0"/>
          <w:i w:val="0"/>
          <w:color w:val="202E3E"/>
          <w:sz w:val="17"/>
        </w:rPr>
        <w:t>• 6. POC Retirement Classification</w:t>
      </w:r>
    </w:p>
    <w:p>
      <w:pPr>
        <w:pStyle w:val="Compact"/>
        <w:ind w:left="245" w:hanging="202"/>
      </w:pPr>
      <w:r>
        <w:rPr>
          <w:rFonts w:ascii="Liberation Sans" w:hAnsi="Liberation Sans"/>
          <w:b w:val="0"/>
          <w:i w:val="0"/>
          <w:color w:val="202E3E"/>
          <w:sz w:val="17"/>
        </w:rPr>
        <w:t>• 7. Archived Validation Pack Contract</w:t>
      </w:r>
    </w:p>
    <w:p>
      <w:pPr>
        <w:pStyle w:val="Compact"/>
        <w:ind w:left="245" w:hanging="202"/>
      </w:pPr>
      <w:r>
        <w:rPr>
          <w:rFonts w:ascii="Liberation Sans" w:hAnsi="Liberation Sans"/>
          <w:b w:val="0"/>
          <w:i w:val="0"/>
          <w:color w:val="202E3E"/>
          <w:sz w:val="17"/>
        </w:rPr>
        <w:t>• 8. Production Branch, Save and Compatibility Baseline</w:t>
      </w:r>
    </w:p>
    <w:p>
      <w:pPr>
        <w:pStyle w:val="Compact"/>
        <w:ind w:left="245" w:hanging="202"/>
      </w:pPr>
      <w:r>
        <w:rPr>
          <w:rFonts w:ascii="Liberation Sans" w:hAnsi="Liberation Sans"/>
          <w:b w:val="0"/>
          <w:i w:val="0"/>
          <w:color w:val="202E3E"/>
          <w:sz w:val="17"/>
        </w:rPr>
        <w:t>• 9. POC Reference Inventory and Leakage Scan</w:t>
      </w:r>
    </w:p>
    <w:p>
      <w:pPr>
        <w:pStyle w:val="Compact"/>
        <w:ind w:left="245" w:hanging="202"/>
      </w:pPr>
      <w:r>
        <w:rPr>
          <w:rFonts w:ascii="Liberation Sans" w:hAnsi="Liberation Sans"/>
          <w:b w:val="0"/>
          <w:i w:val="0"/>
          <w:color w:val="202E3E"/>
          <w:sz w:val="17"/>
        </w:rPr>
        <w:t>• 10. Legacy Cleanup Across Documents 00-18</w:t>
      </w:r>
    </w:p>
    <w:p>
      <w:pPr>
        <w:pStyle w:val="Compact"/>
        <w:ind w:left="245" w:hanging="202"/>
      </w:pPr>
      <w:r>
        <w:rPr>
          <w:rFonts w:ascii="Liberation Sans" w:hAnsi="Liberation Sans"/>
          <w:b w:val="0"/>
          <w:i w:val="0"/>
          <w:color w:val="202E3E"/>
          <w:sz w:val="17"/>
        </w:rPr>
        <w:t>• 11. Supersession, Versioning and Change Control</w:t>
      </w:r>
    </w:p>
    <w:p>
      <w:pPr>
        <w:pStyle w:val="Compact"/>
        <w:ind w:left="245" w:hanging="202"/>
      </w:pPr>
      <w:r>
        <w:rPr>
          <w:rFonts w:ascii="Liberation Sans" w:hAnsi="Liberation Sans"/>
          <w:b w:val="0"/>
          <w:i w:val="0"/>
          <w:color w:val="202E3E"/>
          <w:sz w:val="17"/>
        </w:rPr>
        <w:t>• 11.1 Controlled Amendment Cadence for Sets 25 and 26</w:t>
      </w:r>
    </w:p>
    <w:p>
      <w:pPr>
        <w:pStyle w:val="Compact"/>
        <w:ind w:left="245" w:hanging="202"/>
      </w:pPr>
      <w:r>
        <w:rPr>
          <w:rFonts w:ascii="Liberation Sans" w:hAnsi="Liberation Sans"/>
          <w:b w:val="0"/>
          <w:i w:val="0"/>
          <w:color w:val="202E3E"/>
          <w:sz w:val="17"/>
        </w:rPr>
        <w:t>• 12. Decision Categories, Statuses and Evidence</w:t>
      </w:r>
    </w:p>
    <w:p>
      <w:pPr>
        <w:pStyle w:val="Compact"/>
        <w:ind w:left="245" w:hanging="202"/>
      </w:pPr>
      <w:r>
        <w:rPr>
          <w:rFonts w:ascii="Liberation Sans" w:hAnsi="Liberation Sans"/>
          <w:b w:val="0"/>
          <w:i w:val="0"/>
          <w:color w:val="202E3E"/>
          <w:sz w:val="17"/>
        </w:rPr>
        <w:t>• 13. Canonical Production Status Lifecycle</w:t>
      </w:r>
    </w:p>
    <w:p>
      <w:pPr>
        <w:pStyle w:val="Compact"/>
        <w:ind w:left="245" w:hanging="202"/>
      </w:pPr>
      <w:r>
        <w:rPr>
          <w:rFonts w:ascii="Liberation Sans" w:hAnsi="Liberation Sans"/>
          <w:b w:val="0"/>
          <w:i w:val="0"/>
          <w:color w:val="202E3E"/>
          <w:sz w:val="17"/>
        </w:rPr>
        <w:t>• 14. Production Tiers and Shipping Classification</w:t>
      </w:r>
    </w:p>
    <w:p>
      <w:pPr>
        <w:pStyle w:val="Compact"/>
        <w:ind w:left="245" w:hanging="202"/>
      </w:pPr>
      <w:r>
        <w:rPr>
          <w:rFonts w:ascii="Liberation Sans" w:hAnsi="Liberation Sans"/>
          <w:b w:val="0"/>
          <w:i w:val="0"/>
          <w:color w:val="202E3E"/>
          <w:sz w:val="17"/>
        </w:rPr>
        <w:t>• 15. Production Definition of Done Governance</w:t>
      </w:r>
    </w:p>
    <w:p>
      <w:pPr>
        <w:pStyle w:val="Compact"/>
        <w:ind w:left="245" w:hanging="202"/>
      </w:pPr>
      <w:r>
        <w:rPr>
          <w:rFonts w:ascii="Liberation Sans" w:hAnsi="Liberation Sans"/>
          <w:b w:val="0"/>
          <w:i w:val="0"/>
          <w:color w:val="202E3E"/>
          <w:sz w:val="17"/>
        </w:rPr>
        <w:t>• 16. Source-of-Truth Ownership Governance</w:t>
      </w:r>
    </w:p>
    <w:p>
      <w:pPr>
        <w:pStyle w:val="Compact"/>
        <w:ind w:left="245" w:hanging="202"/>
      </w:pPr>
      <w:r>
        <w:rPr>
          <w:rFonts w:ascii="Liberation Sans" w:hAnsi="Liberation Sans"/>
          <w:b w:val="0"/>
          <w:i w:val="0"/>
          <w:color w:val="202E3E"/>
          <w:sz w:val="17"/>
        </w:rPr>
        <w:t>• 16.1 Maritime Ownership and Extension Boundary</w:t>
      </w:r>
    </w:p>
    <w:p>
      <w:pPr>
        <w:pStyle w:val="Compact"/>
        <w:ind w:left="245" w:hanging="202"/>
      </w:pPr>
      <w:r>
        <w:rPr>
          <w:rFonts w:ascii="Liberation Sans" w:hAnsi="Liberation Sans"/>
          <w:b w:val="0"/>
          <w:i w:val="0"/>
          <w:color w:val="202E3E"/>
          <w:sz w:val="17"/>
        </w:rPr>
        <w:t>• 17. Core Production Scope Governance</w:t>
      </w:r>
    </w:p>
    <w:p>
      <w:pPr>
        <w:pStyle w:val="Compact"/>
        <w:ind w:left="245" w:hanging="202"/>
      </w:pPr>
      <w:r>
        <w:rPr>
          <w:rFonts w:ascii="Liberation Sans" w:hAnsi="Liberation Sans"/>
          <w:b w:val="0"/>
          <w:i w:val="0"/>
          <w:color w:val="202E3E"/>
          <w:sz w:val="17"/>
        </w:rPr>
        <w:t>• 18. Package Admission and Completeness Rules</w:t>
      </w:r>
    </w:p>
    <w:p>
      <w:pPr>
        <w:pStyle w:val="Compact"/>
        <w:ind w:left="245" w:hanging="202"/>
      </w:pPr>
      <w:r>
        <w:rPr>
          <w:rFonts w:ascii="Liberation Sans" w:hAnsi="Liberation Sans"/>
          <w:b w:val="0"/>
          <w:i w:val="0"/>
          <w:color w:val="202E3E"/>
          <w:sz w:val="17"/>
        </w:rPr>
        <w:t>• 19. Deferral and Tooling-Research Rules</w:t>
      </w:r>
    </w:p>
    <w:p>
      <w:pPr>
        <w:pStyle w:val="Compact"/>
        <w:ind w:left="245" w:hanging="202"/>
      </w:pPr>
      <w:r>
        <w:rPr>
          <w:rFonts w:ascii="Liberation Sans" w:hAnsi="Liberation Sans"/>
          <w:b w:val="0"/>
          <w:i w:val="0"/>
          <w:color w:val="202E3E"/>
          <w:sz w:val="17"/>
        </w:rPr>
        <w:t>• 20. Registry-First Production Rule</w:t>
      </w:r>
    </w:p>
    <w:p>
      <w:pPr>
        <w:pStyle w:val="Compact"/>
        <w:ind w:left="245" w:hanging="202"/>
      </w:pPr>
      <w:r>
        <w:rPr>
          <w:rFonts w:ascii="Liberation Sans" w:hAnsi="Liberation Sans"/>
          <w:b w:val="0"/>
          <w:i w:val="0"/>
          <w:color w:val="202E3E"/>
          <w:sz w:val="17"/>
        </w:rPr>
        <w:t>• 21. Main Document Revision Governance</w:t>
      </w:r>
    </w:p>
    <w:p>
      <w:pPr>
        <w:pStyle w:val="Compact"/>
        <w:ind w:left="245" w:hanging="202"/>
      </w:pPr>
      <w:r>
        <w:rPr>
          <w:rFonts w:ascii="Liberation Sans" w:hAnsi="Liberation Sans"/>
          <w:b w:val="0"/>
          <w:i w:val="0"/>
          <w:color w:val="202E3E"/>
          <w:sz w:val="17"/>
        </w:rPr>
        <w:t>• 21.1 Active Source Rule</w:t>
      </w:r>
    </w:p>
    <w:p>
      <w:pPr>
        <w:pStyle w:val="Compact"/>
        <w:ind w:left="245" w:hanging="202"/>
      </w:pPr>
      <w:r>
        <w:rPr>
          <w:rFonts w:ascii="Liberation Sans" w:hAnsi="Liberation Sans"/>
          <w:b w:val="0"/>
          <w:i w:val="0"/>
          <w:color w:val="202E3E"/>
          <w:sz w:val="17"/>
        </w:rPr>
        <w:t>• 21.2 Set 26 Downstream Amendment Tracking</w:t>
      </w:r>
    </w:p>
    <w:p>
      <w:pPr>
        <w:pStyle w:val="Compact"/>
        <w:ind w:left="245" w:hanging="202"/>
      </w:pPr>
      <w:r>
        <w:rPr>
          <w:rFonts w:ascii="Liberation Sans" w:hAnsi="Liberation Sans"/>
          <w:b w:val="0"/>
          <w:i w:val="0"/>
          <w:color w:val="202E3E"/>
          <w:sz w:val="17"/>
        </w:rPr>
        <w:t>• 22. Godot and Summer Engine Governance</w:t>
      </w:r>
    </w:p>
    <w:p>
      <w:pPr>
        <w:pStyle w:val="Compact"/>
        <w:ind w:left="245" w:hanging="202"/>
      </w:pPr>
      <w:r>
        <w:rPr>
          <w:rFonts w:ascii="Liberation Sans" w:hAnsi="Liberation Sans"/>
          <w:b w:val="0"/>
          <w:i w:val="0"/>
          <w:color w:val="202E3E"/>
          <w:sz w:val="17"/>
        </w:rPr>
        <w:t>• 23. Summer Engine Task Governance</w:t>
      </w:r>
    </w:p>
    <w:p>
      <w:pPr>
        <w:pStyle w:val="Compact"/>
        <w:ind w:left="245" w:hanging="202"/>
      </w:pPr>
      <w:r>
        <w:rPr>
          <w:rFonts w:ascii="Liberation Sans" w:hAnsi="Liberation Sans"/>
          <w:b w:val="0"/>
          <w:i w:val="0"/>
          <w:color w:val="202E3E"/>
          <w:sz w:val="17"/>
        </w:rPr>
        <w:t>• 24. Forge, Audio, VFX and Asset Governance</w:t>
      </w:r>
    </w:p>
    <w:p>
      <w:pPr>
        <w:pStyle w:val="Compact"/>
        <w:ind w:left="245" w:hanging="202"/>
      </w:pPr>
      <w:r>
        <w:rPr>
          <w:rFonts w:ascii="Liberation Sans" w:hAnsi="Liberation Sans"/>
          <w:b w:val="0"/>
          <w:i w:val="0"/>
          <w:color w:val="202E3E"/>
          <w:sz w:val="17"/>
        </w:rPr>
        <w:t>• 25. Validation, Evidence and Audit Policy</w:t>
      </w:r>
    </w:p>
    <w:p>
      <w:pPr>
        <w:pStyle w:val="Compact"/>
        <w:ind w:left="245" w:hanging="202"/>
      </w:pPr>
      <w:r>
        <w:rPr>
          <w:rFonts w:ascii="Liberation Sans" w:hAnsi="Liberation Sans"/>
          <w:b w:val="0"/>
          <w:i w:val="0"/>
          <w:color w:val="202E3E"/>
          <w:sz w:val="17"/>
        </w:rPr>
        <w:t>• 26. Risk, Issue, Dependency and Change Registers</w:t>
      </w:r>
    </w:p>
    <w:p>
      <w:pPr>
        <w:pStyle w:val="Compact"/>
        <w:ind w:left="245" w:hanging="202"/>
      </w:pPr>
      <w:r>
        <w:rPr>
          <w:rFonts w:ascii="Liberation Sans" w:hAnsi="Liberation Sans"/>
          <w:b w:val="0"/>
          <w:i w:val="0"/>
          <w:color w:val="202E3E"/>
          <w:sz w:val="17"/>
        </w:rPr>
        <w:t>• 27. Milestone and Release Governance</w:t>
      </w:r>
    </w:p>
    <w:p>
      <w:pPr>
        <w:pStyle w:val="Compact"/>
        <w:ind w:left="245" w:hanging="202"/>
      </w:pPr>
      <w:r>
        <w:rPr>
          <w:rFonts w:ascii="Liberation Sans" w:hAnsi="Liberation Sans"/>
          <w:b w:val="0"/>
          <w:i w:val="0"/>
          <w:color w:val="202E3E"/>
          <w:sz w:val="17"/>
        </w:rPr>
        <w:t>• 27.1 Gate Discipline</w:t>
      </w:r>
    </w:p>
    <w:p>
      <w:pPr>
        <w:pStyle w:val="Compact"/>
        <w:ind w:left="245" w:hanging="202"/>
      </w:pPr>
      <w:r>
        <w:rPr>
          <w:rFonts w:ascii="Liberation Sans" w:hAnsi="Liberation Sans"/>
          <w:b w:val="0"/>
          <w:i w:val="0"/>
          <w:color w:val="202E3E"/>
          <w:sz w:val="17"/>
        </w:rPr>
        <w:t>• 27.2 Set 26 Parallel Lane and Integration Checkpoints</w:t>
      </w:r>
    </w:p>
    <w:p>
      <w:pPr>
        <w:pStyle w:val="Compact"/>
        <w:ind w:left="245" w:hanging="202"/>
      </w:pPr>
      <w:r>
        <w:rPr>
          <w:rFonts w:ascii="Liberation Sans" w:hAnsi="Liberation Sans"/>
          <w:b w:val="0"/>
          <w:i w:val="0"/>
          <w:color w:val="202E3E"/>
          <w:sz w:val="17"/>
        </w:rPr>
        <w:t>• 27.3 Final Set 25 Closure Conditions</w:t>
      </w:r>
    </w:p>
    <w:p>
      <w:pPr>
        <w:pStyle w:val="Compact"/>
        <w:ind w:left="245" w:hanging="202"/>
      </w:pPr>
      <w:r>
        <w:rPr>
          <w:rFonts w:ascii="Liberation Sans" w:hAnsi="Liberation Sans"/>
          <w:b w:val="0"/>
          <w:i w:val="0"/>
          <w:color w:val="202E3E"/>
          <w:sz w:val="17"/>
        </w:rPr>
        <w:t>• 28. AI-Assisted Production and Human Authority</w:t>
      </w:r>
    </w:p>
    <w:p>
      <w:pPr>
        <w:pStyle w:val="Compact"/>
        <w:ind w:left="245" w:hanging="202"/>
      </w:pPr>
      <w:r>
        <w:rPr>
          <w:rFonts w:ascii="Liberation Sans" w:hAnsi="Liberation Sans"/>
          <w:b w:val="0"/>
          <w:i w:val="0"/>
          <w:color w:val="202E3E"/>
          <w:sz w:val="17"/>
        </w:rPr>
        <w:t>• 29. Immediate Post-25A Action Sequence</w:t>
      </w:r>
    </w:p>
    <w:p>
      <w:pPr>
        <w:pStyle w:val="Compact"/>
        <w:ind w:left="245" w:hanging="202"/>
      </w:pPr>
      <w:r>
        <w:rPr>
          <w:rFonts w:ascii="Liberation Sans" w:hAnsi="Liberation Sans"/>
          <w:b w:val="0"/>
          <w:i w:val="0"/>
          <w:color w:val="202E3E"/>
          <w:sz w:val="17"/>
        </w:rPr>
        <w:t>• 30. Open Decisions for Later Set 25 Documents</w:t>
      </w:r>
    </w:p>
    <w:p>
      <w:pPr>
        <w:pStyle w:val="Compact"/>
        <w:ind w:left="245" w:hanging="202"/>
      </w:pPr>
      <w:r>
        <w:rPr>
          <w:rFonts w:ascii="Liberation Sans" w:hAnsi="Liberation Sans"/>
          <w:b w:val="0"/>
          <w:i w:val="0"/>
          <w:color w:val="202E3E"/>
          <w:sz w:val="17"/>
        </w:rPr>
        <w:t>• Appendix A. POC Retirement Inventory Template</w:t>
      </w:r>
    </w:p>
    <w:p>
      <w:pPr>
        <w:pStyle w:val="Compact"/>
        <w:ind w:left="245" w:hanging="202"/>
      </w:pPr>
      <w:r>
        <w:rPr>
          <w:rFonts w:ascii="Liberation Sans" w:hAnsi="Liberation Sans"/>
          <w:b w:val="0"/>
          <w:i w:val="0"/>
          <w:color w:val="202E3E"/>
          <w:sz w:val="17"/>
        </w:rPr>
        <w:t>• Appendix B. Master Decision Register</w:t>
      </w:r>
    </w:p>
    <w:p>
      <w:pPr>
        <w:pStyle w:val="Compact"/>
        <w:ind w:left="245" w:hanging="202"/>
      </w:pPr>
      <w:r>
        <w:rPr>
          <w:rFonts w:ascii="Liberation Sans" w:hAnsi="Liberation Sans"/>
          <w:b w:val="0"/>
          <w:i w:val="0"/>
          <w:color w:val="202E3E"/>
          <w:sz w:val="17"/>
        </w:rPr>
        <w:t>• Appendix C. Change Request and Supersession Template</w:t>
      </w:r>
    </w:p>
    <w:p>
      <w:pPr>
        <w:pStyle w:val="Compact"/>
        <w:ind w:left="245" w:hanging="202"/>
      </w:pPr>
      <w:r>
        <w:rPr>
          <w:rFonts w:ascii="Liberation Sans" w:hAnsi="Liberation Sans"/>
          <w:b w:val="0"/>
          <w:i w:val="0"/>
          <w:color w:val="202E3E"/>
          <w:sz w:val="17"/>
        </w:rPr>
        <w:t>• Appendix D. Production Baseline Checklist</w:t>
      </w:r>
    </w:p>
    <w:p>
      <w:pPr>
        <w:pStyle w:val="Compact"/>
        <w:ind w:left="245" w:hanging="202"/>
      </w:pPr>
      <w:r>
        <w:rPr>
          <w:rFonts w:ascii="Liberation Sans" w:hAnsi="Liberation Sans"/>
          <w:b w:val="0"/>
          <w:i w:val="0"/>
          <w:color w:val="202E3E"/>
          <w:sz w:val="17"/>
        </w:rPr>
        <w:t>• Appendix E. Document 25A Acceptance Criteria</w:t>
      </w:r>
    </w:p>
    <w:p>
      <w:pPr>
        <w:pStyle w:val="Compact"/>
        <w:ind w:left="245" w:hanging="202"/>
      </w:pPr>
      <w:r>
        <w:rPr>
          <w:rFonts w:ascii="Liberation Sans" w:hAnsi="Liberation Sans"/>
          <w:b w:val="0"/>
          <w:i w:val="0"/>
          <w:color w:val="202E3E"/>
          <w:sz w:val="17"/>
        </w:rPr>
        <w:t>• Appendix F. Set 26 Integration Checkpoint Register</w:t>
      </w:r>
    </w:p>
    <w:p>
      <w:pPr>
        <w:pStyle w:val="Heading1"/>
        <w:keepNext/>
      </w:pPr>
      <w:r>
        <w:t>1. Locked Production Governance Identity</w:t>
      </w:r>
    </w:p>
    <w:p>
      <w:pPr>
        <w:widowControl/>
      </w:pPr>
      <w:r>
        <w:rPr>
          <w:rFonts w:ascii="Liberation Sans" w:hAnsi="Liberation Sans"/>
          <w:b w:val="0"/>
          <w:i w:val="0"/>
          <w:color w:val="202E3E"/>
          <w:sz w:val="18"/>
        </w:rPr>
        <w:t>The post-Atlas production programme is the conversion layer between world design and an implementable game. Its role is to transform selected Atlas foundations into validated registries, Godot data, seed-generated worlds, assets, simulation, interface and persistent player-facing consequences without returning to hardcoded demonstration content. It is also the admission spine through which separately owned major expansions can become compatible, save-safe and releasable without being absorbed into Set 25.</w:t>
      </w:r>
    </w:p>
    <w:tbl>
      <w:tblPr>
        <w:tblW w:type="auto" w:w="0"/>
        <w:jc w:val="center"/>
        <w:tblLayout w:type="fixed"/>
        <w:tblLook w:firstColumn="1" w:firstRow="1" w:lastColumn="0" w:lastRow="0" w:noHBand="0" w:noVBand="1" w:val="04A0"/>
      </w:tblPr>
      <w:tblGrid>
        <w:gridCol w:w="9831"/>
      </w:tblGrid>
      <w:tr>
        <w:tc>
          <w:tcPr>
            <w:tcW w:type="dxa" w:w="9648"/>
            <w:tcMar>
              <w:top w:w="75" w:type="dxa"/>
              <w:start w:w="90" w:type="dxa"/>
              <w:bottom w:w="75" w:type="dxa"/>
              <w:end w:w="90" w:type="dxa"/>
            </w:tcMar>
            <w:shd w:fill="1F4E78"/>
          </w:tcPr>
          <w:p>
            <w:r/>
            <w:r>
              <w:rPr>
                <w:rFonts w:ascii="Liberation Sans" w:hAnsi="Liberation Sans"/>
                <w:b/>
                <w:i w:val="0"/>
                <w:color w:val="FFFFFF"/>
                <w:sz w:val="18"/>
              </w:rPr>
              <w:t>Locked Governance Rule</w:t>
            </w:r>
          </w:p>
        </w:tc>
      </w:tr>
      <w:tr>
        <w:tc>
          <w:tcPr>
            <w:tcW w:type="dxa" w:w="9648"/>
            <w:tcMar>
              <w:top w:w="75" w:type="dxa"/>
              <w:start w:w="90" w:type="dxa"/>
              <w:bottom w:w="75" w:type="dxa"/>
              <w:end w:w="90" w:type="dxa"/>
            </w:tcMar>
            <w:shd w:fill="DCE6F1"/>
          </w:tcPr>
          <w:p>
            <w:r/>
            <w:r>
              <w:rPr>
                <w:rFonts w:ascii="Liberation Sans" w:hAnsi="Liberation Sans"/>
                <w:b w:val="0"/>
                <w:i w:val="0"/>
                <w:color w:val="202E3E"/>
                <w:sz w:val="17"/>
              </w:rPr>
              <w:t xml:space="preserve">No content package advances because it has an appealing name, model, texture, prose description, or isolated mechanic. Advancement requires stable identity, canonical ownership, complete relationships, physical support, fallback behaviour, asset and presentation requirements, runtime bindings, save/migration treatment, validation evidence and recorded approval. </w:t>
            </w:r>
            <w:r>
              <w:rPr>
                <w:rFonts w:ascii="Liberation Sans" w:hAnsi="Liberation Sans"/>
                <w:b/>
                <w:i w:val="0"/>
                <w:color w:val="202E3E"/>
                <w:sz w:val="17"/>
              </w:rPr>
              <w:t>Locked Major-Expansion Rule</w:t>
            </w:r>
            <w:r>
              <w:rPr>
                <w:rFonts w:ascii="Liberation Sans" w:hAnsi="Liberation Sans"/>
                <w:b w:val="0"/>
                <w:i w:val="0"/>
                <w:color w:val="202E3E"/>
                <w:sz w:val="17"/>
              </w:rPr>
              <w:t xml:space="preserve"> Approval of a document set does not exempt its content from Set 25 governance and does not automatically assign a shipping tier. Document Set 26 remains a separate system-design authority, while each maritime package must still pass identity, dependency, classification, migration, validation and release-admission gates.</w:t>
            </w:r>
          </w:p>
        </w:tc>
      </w:tr>
    </w:tbl>
    <w:p>
      <w:pPr>
        <w:spacing w:after="0"/>
      </w:pPr>
    </w:p>
    <w:tbl>
      <w:tblPr>
        <w:tblStyle w:val="TableGrid"/>
        <w:tblW w:type="auto" w:w="0"/>
        <w:jc w:val="center"/>
        <w:tblLayout w:type="fixed"/>
        <w:tblLook w:firstColumn="1" w:firstRow="1" w:lastColumn="0" w:lastRow="0" w:noHBand="0" w:noVBand="1" w:val="04A0"/>
      </w:tblPr>
      <w:tblGrid>
        <w:gridCol w:w="3277"/>
        <w:gridCol w:w="3277"/>
        <w:gridCol w:w="3277"/>
      </w:tblGrid>
      <w:tr>
        <w:trPr>
          <w:tblHeader w:val="true"/>
          <w:cantSplit w:val="true"/>
        </w:trPr>
        <w:tc>
          <w:tcPr>
            <w:tcW w:type="dxa" w:w="2304"/>
            <w:shd w:fill="1F4E78"/>
            <w:tcMar>
              <w:top w:w="55" w:type="dxa"/>
              <w:start w:w="70" w:type="dxa"/>
              <w:bottom w:w="55" w:type="dxa"/>
              <w:end w:w="70" w:type="dxa"/>
            </w:tcMar>
            <w:vAlign w:val="center"/>
          </w:tcPr>
          <w:p>
            <w:pPr>
              <w:spacing w:after="0"/>
            </w:pPr>
            <w:r/>
            <w:r>
              <w:rPr>
                <w:rFonts w:ascii="Liberation Sans" w:hAnsi="Liberation Sans"/>
                <w:b/>
                <w:i w:val="0"/>
                <w:color w:val="FFFFFF"/>
                <w:sz w:val="16"/>
              </w:rPr>
              <w:t>Identity Layer</w:t>
            </w:r>
          </w:p>
        </w:tc>
        <w:tc>
          <w:tcPr>
            <w:tcW w:type="dxa" w:w="3528"/>
            <w:shd w:fill="1F4E78"/>
            <w:tcMar>
              <w:top w:w="55" w:type="dxa"/>
              <w:start w:w="70" w:type="dxa"/>
              <w:bottom w:w="55" w:type="dxa"/>
              <w:end w:w="70" w:type="dxa"/>
            </w:tcMar>
            <w:vAlign w:val="center"/>
          </w:tcPr>
          <w:p>
            <w:pPr>
              <w:spacing w:after="0"/>
            </w:pPr>
            <w:r/>
            <w:r>
              <w:rPr>
                <w:rFonts w:ascii="Liberation Sans" w:hAnsi="Liberation Sans"/>
                <w:b/>
                <w:i w:val="0"/>
                <w:color w:val="FFFFFF"/>
                <w:sz w:val="16"/>
              </w:rPr>
              <w:t>Governance Meaning</w:t>
            </w:r>
          </w:p>
        </w:tc>
        <w:tc>
          <w:tcPr>
            <w:tcW w:type="dxa" w:w="3816"/>
            <w:shd w:fill="1F4E78"/>
            <w:tcMar>
              <w:top w:w="55" w:type="dxa"/>
              <w:start w:w="70" w:type="dxa"/>
              <w:bottom w:w="55" w:type="dxa"/>
              <w:end w:w="70" w:type="dxa"/>
            </w:tcMar>
            <w:vAlign w:val="center"/>
          </w:tcPr>
          <w:p>
            <w:pPr>
              <w:spacing w:after="0"/>
            </w:pPr>
            <w:r/>
            <w:r>
              <w:rPr>
                <w:rFonts w:ascii="Liberation Sans" w:hAnsi="Liberation Sans"/>
                <w:b/>
                <w:i w:val="0"/>
                <w:color w:val="FFFFFF"/>
                <w:sz w:val="16"/>
              </w:rPr>
              <w:t>Production Result</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Clean Production Baseline</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POC identities and fixed arrangements are isolated from normal generation and active dependencies.</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Production decisions cannot silently fall back to the old demonstration.</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Canonical Authority</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Every rule, field and definition has a named owner and supersession path.</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Conflicts are visible and duplicate editable truth is rejected.</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Approved Scope</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Atlas foundations are classified before physical or asset expansion.</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The first slice proves final-game identity without trying to implement the whole Atlas.</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Evidence-Based Status</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Lifecycle advancement requires data, tests, assets and integration evidence.</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Planning volume is not mistaken for playable completion.</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Safe Change</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IDs, packs, saves, migrations and dependencies are reviewed before revision or removal.</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Existing production worlds remain recoverable and updates are explainable.</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Human Authority</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AI and tools may assist drafting, analysis, validation and implementation, but final approval remains human.</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Scope, canon, representation, licensing and release decisions remain accountable.</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Expansion-Capable Spine</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Major expansion sets use shared IDs, ownership, packs, validators, saves and release gates while retaining their own detailed design documents.</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Set 26 becomes the first real extension case without hardcoding maritime rules into the kernel.</w:t>
            </w:r>
          </w:p>
        </w:tc>
      </w:tr>
    </w:tbl>
    <w:p>
      <w:pPr>
        <w:spacing w:after="0"/>
      </w:pPr>
    </w:p>
    <w:p>
      <w:pPr>
        <w:pStyle w:val="Heading1"/>
        <w:keepNext/>
      </w:pPr>
      <w:r>
        <w:t>2. Source-Derived Direction and Recommendation Boundary</w:t>
      </w:r>
    </w:p>
    <w:p>
      <w:pPr>
        <w:widowControl/>
      </w:pPr>
      <w:r>
        <w:rPr>
          <w:rFonts w:ascii="Liberation Sans" w:hAnsi="Liberation Sans"/>
          <w:b w:val="0"/>
          <w:i w:val="0"/>
          <w:color w:val="202E3E"/>
          <w:sz w:val="18"/>
        </w:rPr>
        <w:t>Document Set 24 provides the source-derived production direction. This document preserves that direction and separates it from new governance recommendations so future revisions can identify what is inherited, what is newly approved and what is still unresolved.</w:t>
      </w:r>
    </w:p>
    <w:tbl>
      <w:tblPr>
        <w:tblStyle w:val="TableGrid"/>
        <w:tblW w:type="auto" w:w="0"/>
        <w:jc w:val="center"/>
        <w:tblLayout w:type="fixed"/>
        <w:tblLook w:firstColumn="1" w:firstRow="1" w:lastColumn="0" w:lastRow="0" w:noHBand="0" w:noVBand="1" w:val="04A0"/>
      </w:tblPr>
      <w:tblGrid>
        <w:gridCol w:w="3277"/>
        <w:gridCol w:w="3277"/>
        <w:gridCol w:w="3277"/>
      </w:tblGrid>
      <w:tr>
        <w:trPr>
          <w:tblHeader w:val="true"/>
          <w:cantSplit w:val="true"/>
        </w:trPr>
        <w:tc>
          <w:tcPr>
            <w:tcW w:type="dxa" w:w="2304"/>
            <w:shd w:fill="1F4E78"/>
            <w:tcMar>
              <w:top w:w="55" w:type="dxa"/>
              <w:start w:w="70" w:type="dxa"/>
              <w:bottom w:w="55" w:type="dxa"/>
              <w:end w:w="70" w:type="dxa"/>
            </w:tcMar>
            <w:vAlign w:val="center"/>
          </w:tcPr>
          <w:p>
            <w:pPr>
              <w:spacing w:after="0"/>
            </w:pPr>
            <w:r/>
            <w:r>
              <w:rPr>
                <w:rFonts w:ascii="Liberation Sans" w:hAnsi="Liberation Sans"/>
                <w:b/>
                <w:i w:val="0"/>
                <w:color w:val="FFFFFF"/>
                <w:sz w:val="16"/>
              </w:rPr>
              <w:t>Classification</w:t>
            </w:r>
          </w:p>
        </w:tc>
        <w:tc>
          <w:tcPr>
            <w:tcW w:type="dxa" w:w="3528"/>
            <w:shd w:fill="1F4E78"/>
            <w:tcMar>
              <w:top w:w="55" w:type="dxa"/>
              <w:start w:w="70" w:type="dxa"/>
              <w:bottom w:w="55" w:type="dxa"/>
              <w:end w:w="70" w:type="dxa"/>
            </w:tcMar>
            <w:vAlign w:val="center"/>
          </w:tcPr>
          <w:p>
            <w:pPr>
              <w:spacing w:after="0"/>
            </w:pPr>
            <w:r/>
            <w:r>
              <w:rPr>
                <w:rFonts w:ascii="Liberation Sans" w:hAnsi="Liberation Sans"/>
                <w:b/>
                <w:i w:val="0"/>
                <w:color w:val="FFFFFF"/>
                <w:sz w:val="16"/>
              </w:rPr>
              <w:t>Meaning</w:t>
            </w:r>
          </w:p>
        </w:tc>
        <w:tc>
          <w:tcPr>
            <w:tcW w:type="dxa" w:w="3816"/>
            <w:shd w:fill="1F4E78"/>
            <w:tcMar>
              <w:top w:w="55" w:type="dxa"/>
              <w:start w:w="70" w:type="dxa"/>
              <w:bottom w:w="55" w:type="dxa"/>
              <w:end w:w="70" w:type="dxa"/>
            </w:tcMar>
            <w:vAlign w:val="center"/>
          </w:tcPr>
          <w:p>
            <w:pPr>
              <w:spacing w:after="0"/>
            </w:pPr>
            <w:r/>
            <w:r>
              <w:rPr>
                <w:rFonts w:ascii="Liberation Sans" w:hAnsi="Liberation Sans"/>
                <w:b/>
                <w:i w:val="0"/>
                <w:color w:val="FFFFFF"/>
                <w:sz w:val="16"/>
              </w:rPr>
              <w:t>Treatment in This Document</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Locked Project Direction</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Explicitly confirmed by Ash or repeated as a non-negotiable project rule.</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Applied immediately; only Ash may supersede it.</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Atlas Authority</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Defined by Documents 24A-24L within their source-of-truth domains.</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Applied unless a contradiction is recorded for resolution.</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Approved Programme Baseline</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Accepted through approval to begin Document Set 25 using the proposed sequence.</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Used as the working production plan; major changes return to the decision register.</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Newly Approved Set 26 Direction</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Explicitly approved in the maritime integration instruction supplied by Ash.</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Applied as locked programme direction; detailed content remains unapproved until its owning Set 26 documents are reviewed.</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Necessary Integration Conclusion</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A governance or compatibility result required for the approved sets to coexist, without inventing gameplay detail.</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Applied where it follows directly from locked dependencies; recorded separately from recommendations.</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Architect Recommendation</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A proposed method that fills an operational gap without claiming prior source support.</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Clearly labelled and subject to Ash approval before it becomes locked.</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Pending Decision</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A choice that materially affects schemas, content scope, assets, saves, performance or implementation.</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Recorded with dependencies; work must not assume an answer.</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Deferred Decision</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A choice intentionally postponed until a prerequisite or prototype exists.</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May not block earlier work unless its boundary is violated.</w:t>
            </w:r>
          </w:p>
        </w:tc>
      </w:tr>
    </w:tbl>
    <w:p>
      <w:pPr>
        <w:spacing w:after="0"/>
      </w:pPr>
    </w:p>
    <w:p>
      <w:pPr>
        <w:widowControl/>
      </w:pPr>
      <w:r>
        <w:rPr>
          <w:rFonts w:ascii="Liberation Sans" w:hAnsi="Liberation Sans"/>
          <w:b w:val="0"/>
          <w:i w:val="0"/>
          <w:color w:val="202E3E"/>
          <w:sz w:val="18"/>
        </w:rPr>
        <w:t>Where an older main document and the Atlas disagree, the conflict must be logged. Set 25 may define the reconciliation method, but it must not silently rewrite either source. Replacement documents must state which earlier rule they supersede and why.</w:t>
      </w:r>
    </w:p>
    <w:p>
      <w:pPr>
        <w:pStyle w:val="Heading1"/>
        <w:keepNext/>
      </w:pPr>
      <w:r>
        <w:t>3. Document Set 25 Map and Document 25A Role</w:t>
      </w:r>
    </w:p>
    <w:tbl>
      <w:tblPr>
        <w:tblStyle w:val="TableGrid"/>
        <w:tblW w:type="auto" w:w="0"/>
        <w:jc w:val="center"/>
        <w:tblLayout w:type="fixed"/>
        <w:tblLook w:firstColumn="1" w:firstRow="1" w:lastColumn="0" w:lastRow="0" w:noHBand="0" w:noVBand="1" w:val="04A0"/>
      </w:tblPr>
      <w:tblGrid>
        <w:gridCol w:w="3277"/>
        <w:gridCol w:w="3277"/>
        <w:gridCol w:w="3277"/>
      </w:tblGrid>
      <w:tr>
        <w:trPr>
          <w:tblHeader w:val="true"/>
          <w:cantSplit w:val="true"/>
        </w:trPr>
        <w:tc>
          <w:tcPr>
            <w:tcW w:type="dxa" w:w="2304"/>
            <w:shd w:fill="1F4E78"/>
            <w:tcMar>
              <w:top w:w="55" w:type="dxa"/>
              <w:start w:w="70" w:type="dxa"/>
              <w:bottom w:w="55" w:type="dxa"/>
              <w:end w:w="70" w:type="dxa"/>
            </w:tcMar>
            <w:vAlign w:val="center"/>
          </w:tcPr>
          <w:p>
            <w:pPr>
              <w:spacing w:after="0"/>
            </w:pPr>
            <w:r/>
            <w:r>
              <w:rPr>
                <w:rFonts w:ascii="Liberation Sans" w:hAnsi="Liberation Sans"/>
                <w:b/>
                <w:i w:val="0"/>
                <w:color w:val="FFFFFF"/>
                <w:sz w:val="16"/>
              </w:rPr>
              <w:t>Document</w:t>
            </w:r>
          </w:p>
        </w:tc>
        <w:tc>
          <w:tcPr>
            <w:tcW w:type="dxa" w:w="3528"/>
            <w:shd w:fill="1F4E78"/>
            <w:tcMar>
              <w:top w:w="55" w:type="dxa"/>
              <w:start w:w="70" w:type="dxa"/>
              <w:bottom w:w="55" w:type="dxa"/>
              <w:end w:w="70" w:type="dxa"/>
            </w:tcMar>
            <w:vAlign w:val="center"/>
          </w:tcPr>
          <w:p>
            <w:pPr>
              <w:spacing w:after="0"/>
            </w:pPr>
            <w:r/>
            <w:r>
              <w:rPr>
                <w:rFonts w:ascii="Liberation Sans" w:hAnsi="Liberation Sans"/>
                <w:b/>
                <w:i w:val="0"/>
                <w:color w:val="FFFFFF"/>
                <w:sz w:val="16"/>
              </w:rPr>
              <w:t>Purpose</w:t>
            </w:r>
          </w:p>
        </w:tc>
        <w:tc>
          <w:tcPr>
            <w:tcW w:type="dxa" w:w="3816"/>
            <w:shd w:fill="1F4E78"/>
            <w:tcMar>
              <w:top w:w="55" w:type="dxa"/>
              <w:start w:w="70" w:type="dxa"/>
              <w:bottom w:w="55" w:type="dxa"/>
              <w:end w:w="70" w:type="dxa"/>
            </w:tcMar>
            <w:vAlign w:val="center"/>
          </w:tcPr>
          <w:p>
            <w:pPr>
              <w:spacing w:after="0"/>
            </w:pPr>
            <w:r/>
            <w:r>
              <w:rPr>
                <w:rFonts w:ascii="Liberation Sans" w:hAnsi="Liberation Sans"/>
                <w:b/>
                <w:i w:val="0"/>
                <w:color w:val="FFFFFF"/>
                <w:sz w:val="16"/>
              </w:rPr>
              <w:t>Dependency</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25A - Governance, POC Retirement and Decision Register</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Establishes authority, archive baseline, change control, approval states and production-entry rules.</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Begins Set 25.</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25B - Registry Kernel, IDs and Ownership</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Defines universal identity, namespace, alias, localisation, schema ownership and definition/runtime separation.</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25A.</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25C - Schemas, Relationships, Capabilities and Fallbacks</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Defines domain contracts, typed edges, suitability, exclusion, provider queries and completeness.</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25B.</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25D - Packs, Manifests, Authoring and Migration</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Defines content packs, optional-expansion admission, canonical authoring formats, generated outputs, dependency/load order, removal behaviour and migration.</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25B-25C.</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25E - Validation, Seed QA and Release Gates</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Defines automated and human evidence for data, worlds, progression, cross-pack compatibility, optional-content absence/removal, performance, saves and accessibility.</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25B-25D.</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25F - Core Production Classification and Scope Lock</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Classifies Atlas foundations, selected expansion dependencies and the first complete production slice without assuming Set 26 is automatically Core content.</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25B-25E and approved Set 26 scope inputs.</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25G - Package Dependency and Progression Matrix</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Maps selected packages to providers, fallbacks, physical I/O, presentation and tests.</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25F.</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25H - Core Block Family Catalogue</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Defines exact physical block families required by the selected slice.</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25G.</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25I - Core Item Family Catalogue</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Defines exact item, drop, component, good and block-item families.</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25G-25H.</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25J - Resource, Loot, Progression and Recipe-Chain Matrix</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Defines acquisition, transformation, substitution, provenance, recycling and reachability.</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25H-25I.</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25K - Asset Budgets and Manifest Contract</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Defines general Forge, animation, audio, VFX, icon, socket, event and expansion-manifest admission requirements; detailed vessel assets remain owned by Set 26.</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25F-25J and sufficiently specified Set 26 asset requirements.</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25L - Production Backlog and Integrity Audit</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Converts approved work into bounded Summer Engine tasks, records integration debt and verifies document/source alignment. Its final closure revision waits for sufficiently locked Set 26 outputs and their downstream amendment map.</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All prior Set 25 work, main-document replacements and approved Set 26 integration outputs.</w:t>
            </w:r>
          </w:p>
        </w:tc>
      </w:tr>
    </w:tbl>
    <w:p>
      <w:pPr>
        <w:spacing w:after="0"/>
      </w:pPr>
    </w:p>
    <w:p>
      <w:pPr>
        <w:widowControl/>
      </w:pPr>
      <w:r>
        <w:rPr>
          <w:rFonts w:ascii="Liberation Sans" w:hAnsi="Liberation Sans"/>
          <w:b w:val="0"/>
          <w:i w:val="0"/>
          <w:color w:val="202E3E"/>
          <w:sz w:val="18"/>
        </w:rPr>
        <w:t>Document 25A owns governance only. It does not own stable-ID grammar, schema fields, the Core roster, exact physical registries, asset counts or implementation architecture. It records the conditions and approvals that those later documents must follow.</w:t>
      </w:r>
    </w:p>
    <w:p>
      <w:pPr>
        <w:pStyle w:val="Heading2"/>
        <w:keepNext/>
      </w:pPr>
      <w:r>
        <w:t>3.1 Document Set 26 Identity and Boundary</w:t>
      </w:r>
    </w:p>
    <w:p>
      <w:pPr>
        <w:widowControl/>
      </w:pPr>
      <w:r>
        <w:rPr>
          <w:rFonts w:ascii="Liberation Sans" w:hAnsi="Liberation Sans"/>
          <w:b w:val="0"/>
          <w:i w:val="0"/>
          <w:color w:val="202E3E"/>
          <w:sz w:val="18"/>
        </w:rPr>
        <w:t xml:space="preserve">Document Set 26 is formally recognised as </w:t>
      </w:r>
      <w:r>
        <w:rPr>
          <w:rFonts w:ascii="Liberation Sans" w:hAnsi="Liberation Sans"/>
          <w:b/>
          <w:i w:val="0"/>
          <w:color w:val="202E3E"/>
          <w:sz w:val="18"/>
        </w:rPr>
        <w:t>Oceans, Maritime Civilisation, Vessels and Naval Systems Expansion</w:t>
      </w:r>
      <w:r>
        <w:rPr>
          <w:rFonts w:ascii="Liberation Sans" w:hAnsi="Liberation Sans"/>
          <w:b w:val="0"/>
          <w:i w:val="0"/>
          <w:color w:val="202E3E"/>
          <w:sz w:val="18"/>
        </w:rPr>
        <w:t>. It is a separate major expansion programme, not a renaming, continuation number or maritime appendix of Set 25. It extends the World Content Atlas, existing gameplay systems, Forge architecture and Godot/Summer Engine technical direction through its own approved documents.</w:t>
      </w:r>
    </w:p>
    <w:tbl>
      <w:tblPr>
        <w:tblStyle w:val="TableGrid"/>
        <w:tblW w:type="auto" w:w="0"/>
        <w:jc w:val="center"/>
        <w:tblLayout w:type="fixed"/>
        <w:tblLook w:firstColumn="1" w:firstRow="1" w:lastColumn="0" w:lastRow="0" w:noHBand="0" w:noVBand="1" w:val="04A0"/>
      </w:tblPr>
      <w:tblGrid>
        <w:gridCol w:w="3277"/>
        <w:gridCol w:w="3277"/>
        <w:gridCol w:w="3277"/>
      </w:tblGrid>
      <w:tr>
        <w:trPr>
          <w:tblHeader w:val="true"/>
          <w:cantSplit w:val="true"/>
        </w:trPr>
        <w:tc>
          <w:tcPr>
            <w:tcW w:type="dxa" w:w="2304"/>
            <w:shd w:fill="1F4E78"/>
            <w:tcMar>
              <w:top w:w="55" w:type="dxa"/>
              <w:start w:w="70" w:type="dxa"/>
              <w:bottom w:w="55" w:type="dxa"/>
              <w:end w:w="70" w:type="dxa"/>
            </w:tcMar>
            <w:vAlign w:val="center"/>
          </w:tcPr>
          <w:p>
            <w:pPr>
              <w:spacing w:after="0"/>
            </w:pPr>
            <w:r/>
            <w:r>
              <w:rPr>
                <w:rFonts w:ascii="Liberation Sans" w:hAnsi="Liberation Sans"/>
                <w:b/>
                <w:i w:val="0"/>
                <w:color w:val="FFFFFF"/>
                <w:sz w:val="16"/>
              </w:rPr>
              <w:t>Set 26 Owns</w:t>
            </w:r>
          </w:p>
        </w:tc>
        <w:tc>
          <w:tcPr>
            <w:tcW w:type="dxa" w:w="3528"/>
            <w:shd w:fill="1F4E78"/>
            <w:tcMar>
              <w:top w:w="55" w:type="dxa"/>
              <w:start w:w="70" w:type="dxa"/>
              <w:bottom w:w="55" w:type="dxa"/>
              <w:end w:w="70" w:type="dxa"/>
            </w:tcMar>
            <w:vAlign w:val="center"/>
          </w:tcPr>
          <w:p>
            <w:pPr>
              <w:spacing w:after="0"/>
            </w:pPr>
            <w:r/>
            <w:r>
              <w:rPr>
                <w:rFonts w:ascii="Liberation Sans" w:hAnsi="Liberation Sans"/>
                <w:b/>
                <w:i w:val="0"/>
                <w:color w:val="FFFFFF"/>
                <w:sz w:val="16"/>
              </w:rPr>
              <w:t>Set 25 Owns</w:t>
            </w:r>
          </w:p>
        </w:tc>
        <w:tc>
          <w:tcPr>
            <w:tcW w:type="dxa" w:w="3816"/>
            <w:shd w:fill="1F4E78"/>
            <w:tcMar>
              <w:top w:w="55" w:type="dxa"/>
              <w:start w:w="70" w:type="dxa"/>
              <w:bottom w:w="55" w:type="dxa"/>
              <w:end w:w="70" w:type="dxa"/>
            </w:tcMar>
            <w:vAlign w:val="center"/>
          </w:tcPr>
          <w:p>
            <w:pPr>
              <w:spacing w:after="0"/>
            </w:pPr>
            <w:r/>
            <w:r>
              <w:rPr>
                <w:rFonts w:ascii="Liberation Sans" w:hAnsi="Liberation Sans"/>
                <w:b/>
                <w:i w:val="0"/>
                <w:color w:val="FFFFFF"/>
                <w:sz w:val="16"/>
              </w:rPr>
              <w:t>Boundary</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Detailed water/liquid behaviour, marine world generation, waves/tides/currents/storms, swimming/diving, vessel architecture, movement, shipwright work, Vessel Forge, ports, crews, fleets, naval combat, marine ecology, maritime progression and maritime technical contracts.</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Governance, identity, schema admission, package rules, classification, validation, migration, release gates, source-of-truth control and final integration closure.</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Set 25 records and validates the extension contract; it does not duplicate Set 26 gameplay design.</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Maritime amendments required across Documents 00-18 and Forge/settlement/Atlas records.</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Amendment tracking, supersession records and active-source index.</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Set 26 defines the authoritative maritime change; the owning main document receives the final amendment or replacement.</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Maritime-specific registries, manifests, test profiles and runtime requirements.</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Universal registry, pack, migration, validation and task contracts.</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Set 26 registers compatible extensions rather than creating a second kernel.</w:t>
            </w:r>
          </w:p>
        </w:tc>
      </w:tr>
    </w:tbl>
    <w:p>
      <w:pPr>
        <w:spacing w:after="0"/>
      </w:pPr>
    </w:p>
    <w:p>
      <w:pPr>
        <w:pStyle w:val="Heading2"/>
        <w:keepNext/>
      </w:pPr>
      <w:r>
        <w:t>3.2 Parallel Development and Dependency Model</w:t>
      </w:r>
    </w:p>
    <w:tbl>
      <w:tblPr>
        <w:tblW w:type="auto" w:w="0"/>
        <w:jc w:val="center"/>
        <w:tblLayout w:type="fixed"/>
        <w:tblLook w:firstColumn="1" w:firstRow="1" w:lastColumn="0" w:lastRow="0" w:noHBand="0" w:noVBand="1" w:val="04A0"/>
      </w:tblPr>
      <w:tblGrid>
        <w:gridCol w:w="9831"/>
      </w:tblGrid>
      <w:tr>
        <w:tc>
          <w:tcPr>
            <w:tcW w:type="dxa" w:w="9648"/>
            <w:tcMar>
              <w:top w:w="80" w:type="dxa"/>
              <w:start w:w="100" w:type="dxa"/>
              <w:bottom w:w="80" w:type="dxa"/>
              <w:end w:w="100" w:type="dxa"/>
            </w:tcMar>
            <w:shd w:fill="F3F5F7"/>
          </w:tcPr>
          <w:p>
            <w:pPr>
              <w:spacing w:after="0"/>
            </w:pPr>
            <w:r/>
            <w:r>
              <w:rPr>
                <w:rFonts w:ascii="Liberation Mono" w:hAnsi="Liberation Mono"/>
                <w:b w:val="0"/>
                <w:i w:val="0"/>
                <w:color w:val="202E3E"/>
                <w:sz w:val="14"/>
              </w:rPr>
              <w:t>Document Set 24 World Content Atlas</w:t>
              <w:br/>
              <w:t xml:space="preserve">             |</w:t>
              <w:br/>
              <w:t xml:space="preserve">             v</w:t>
              <w:br/>
              <w:t>Document Set 25 production spine</w:t>
              <w:br/>
              <w:t xml:space="preserve">  25A -&gt; 25B -&gt; 25C -&gt; 25D -&gt; 25E</w:t>
              <w:br/>
              <w:t xml:space="preserve">             |                 |</w:t>
              <w:br/>
              <w:t xml:space="preserve">             |                 +--&gt; expansion admission and validation</w:t>
              <w:br/>
              <w:t xml:space="preserve">             v</w:t>
              <w:br/>
              <w:t xml:space="preserve">       25F/25G classification and package matrix</w:t>
              <w:br/>
              <w:t xml:space="preserve">             |</w:t>
              <w:br/>
              <w:t xml:space="preserve">     +-------+--------------------------+</w:t>
              <w:br/>
              <w:t xml:space="preserve">     |                                  |</w:t>
              <w:br/>
              <w:t xml:space="preserve">     v                                  v</w:t>
              <w:br/>
              <w:t>Main-document replacements        Document Set 26</w:t>
              <w:br/>
              <w:t>25H-25L integration               26A-26O maritime authority</w:t>
              <w:br/>
              <w:t xml:space="preserve">     |                                  |</w:t>
              <w:br/>
              <w:t xml:space="preserve">     +---------------+------------------+</w:t>
              <w:br/>
              <w:t xml:space="preserve">                     v</w:t>
              <w:br/>
              <w:t xml:space="preserve">      final Set 25 integration closure and implementation backlog</w:t>
            </w:r>
          </w:p>
        </w:tc>
      </w:tr>
    </w:tbl>
    <w:p>
      <w:pPr>
        <w:spacing w:after="0"/>
      </w:pPr>
    </w:p>
    <w:p>
      <w:pPr>
        <w:widowControl/>
      </w:pPr>
      <w:r>
        <w:rPr>
          <w:rFonts w:ascii="Liberation Sans" w:hAnsi="Liberation Sans"/>
          <w:b w:val="0"/>
          <w:i w:val="0"/>
          <w:color w:val="202E3E"/>
          <w:sz w:val="18"/>
        </w:rPr>
        <w:t>Early Set 26 vision, scope, source review and non-registry-heavy design may proceed while 25C-25E are created. Any Set 26 document that freezes registry identities, detailed schema contracts, content-pack behaviour, save formats, multiplayer authority or final technical implementation must consume the stable 25B baseline and the relevant later Set 25 contracts.</w:t>
      </w:r>
    </w:p>
    <w:p>
      <w:pPr>
        <w:pStyle w:val="Heading2"/>
        <w:keepNext/>
      </w:pPr>
      <w:r>
        <w:t>3.3 Working Document Set 26 Reference Structure</w:t>
      </w:r>
    </w:p>
    <w:tbl>
      <w:tblPr>
        <w:tblStyle w:val="TableGrid"/>
        <w:tblW w:type="auto" w:w="0"/>
        <w:jc w:val="center"/>
        <w:tblLayout w:type="fixed"/>
        <w:tblLook w:firstColumn="1" w:firstRow="1" w:lastColumn="0" w:lastRow="0" w:noHBand="0" w:noVBand="1" w:val="04A0"/>
      </w:tblPr>
      <w:tblGrid>
        <w:gridCol w:w="3277"/>
        <w:gridCol w:w="3277"/>
        <w:gridCol w:w="3277"/>
      </w:tblGrid>
      <w:tr>
        <w:trPr>
          <w:tblHeader w:val="true"/>
          <w:cantSplit w:val="true"/>
        </w:trPr>
        <w:tc>
          <w:tcPr>
            <w:tcW w:type="dxa" w:w="2304"/>
            <w:shd w:fill="1F4E78"/>
            <w:tcMar>
              <w:top w:w="55" w:type="dxa"/>
              <w:start w:w="70" w:type="dxa"/>
              <w:bottom w:w="55" w:type="dxa"/>
              <w:end w:w="70" w:type="dxa"/>
            </w:tcMar>
            <w:vAlign w:val="center"/>
          </w:tcPr>
          <w:p>
            <w:pPr>
              <w:spacing w:after="0"/>
            </w:pPr>
            <w:r/>
            <w:r>
              <w:rPr>
                <w:rFonts w:ascii="Liberation Sans" w:hAnsi="Liberation Sans"/>
                <w:b/>
                <w:i w:val="0"/>
                <w:color w:val="FFFFFF"/>
                <w:sz w:val="16"/>
              </w:rPr>
              <w:t>Range</w:t>
            </w:r>
          </w:p>
        </w:tc>
        <w:tc>
          <w:tcPr>
            <w:tcW w:type="dxa" w:w="3528"/>
            <w:shd w:fill="1F4E78"/>
            <w:tcMar>
              <w:top w:w="55" w:type="dxa"/>
              <w:start w:w="70" w:type="dxa"/>
              <w:bottom w:w="55" w:type="dxa"/>
              <w:end w:w="70" w:type="dxa"/>
            </w:tcMar>
            <w:vAlign w:val="center"/>
          </w:tcPr>
          <w:p>
            <w:pPr>
              <w:spacing w:after="0"/>
            </w:pPr>
            <w:r/>
            <w:r>
              <w:rPr>
                <w:rFonts w:ascii="Liberation Sans" w:hAnsi="Liberation Sans"/>
                <w:b/>
                <w:i w:val="0"/>
                <w:color w:val="FFFFFF"/>
                <w:sz w:val="16"/>
              </w:rPr>
              <w:t>Working Ownership</w:t>
            </w:r>
          </w:p>
        </w:tc>
        <w:tc>
          <w:tcPr>
            <w:tcW w:type="dxa" w:w="3816"/>
            <w:shd w:fill="1F4E78"/>
            <w:tcMar>
              <w:top w:w="55" w:type="dxa"/>
              <w:start w:w="70" w:type="dxa"/>
              <w:bottom w:w="55" w:type="dxa"/>
              <w:end w:w="70" w:type="dxa"/>
            </w:tcMar>
            <w:vAlign w:val="center"/>
          </w:tcPr>
          <w:p>
            <w:pPr>
              <w:spacing w:after="0"/>
            </w:pPr>
            <w:r/>
            <w:r>
              <w:rPr>
                <w:rFonts w:ascii="Liberation Sans" w:hAnsi="Liberation Sans"/>
                <w:b/>
                <w:i w:val="0"/>
                <w:color w:val="FFFFFF"/>
                <w:sz w:val="16"/>
              </w:rPr>
              <w:t>Set 25 Integration Touchpoint</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26A</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Vision, scope, authority and integration foundation.</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25A governance, 25F classification and active-source register.</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26B-26E</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Water/liquids, marine world generation, climate, traversal and underwater interaction.</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25C schemas/relationships, 25E validation, Document 11 and Document 18 replacements.</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26F-26I</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Vessel definitions, movement, construction, Shipwright tools, Vessel Forge and blueprints.</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25B identity, 25C extension schemas, 25D packs/migration, 25K asset manifests and Document 18.</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26J-26M</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Maritime civilisation, trade, fleets, combat, ecology, sites, dungeons and bosses.</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25F/25G classification, 25H-25J physical registries, Documents 07-16 and Atlas ownership.</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26N</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Maritime progression, registries, magic, automation, economy, quests and events.</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Documents 03-15 replacements/revisions and 25G-25J dependency matrices.</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26O</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Maritime UI/UX, multiplayer, Godot/Summer Engine, performance, QA and main-document integration.</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Documents 17-18, 25E validation and final 25L closure.</w:t>
            </w:r>
          </w:p>
        </w:tc>
      </w:tr>
    </w:tbl>
    <w:p>
      <w:pPr>
        <w:spacing w:after="0"/>
      </w:pPr>
    </w:p>
    <w:p>
      <w:pPr>
        <w:widowControl/>
      </w:pPr>
      <w:r>
        <w:rPr>
          <w:rFonts w:ascii="Liberation Sans" w:hAnsi="Liberation Sans"/>
          <w:b w:val="0"/>
          <w:i w:val="0"/>
          <w:color w:val="202E3E"/>
          <w:sz w:val="18"/>
        </w:rPr>
        <w:t>The full approved working titles remain owned by the Set 26 programme. Any title or responsibility change must be explicitly proposed and approved rather than silently applied.</w:t>
      </w:r>
    </w:p>
    <w:p>
      <w:pPr>
        <w:pStyle w:val="Heading1"/>
        <w:keepNext/>
      </w:pPr>
      <w:r>
        <w:t>4. Authority Hierarchy and Final Decision Rights</w:t>
      </w:r>
    </w:p>
    <w:tbl>
      <w:tblPr>
        <w:tblStyle w:val="TableGrid"/>
        <w:tblW w:type="auto" w:w="0"/>
        <w:jc w:val="center"/>
        <w:tblLayout w:type="fixed"/>
        <w:tblLook w:firstColumn="1" w:firstRow="1" w:lastColumn="0" w:lastRow="0" w:noHBand="0" w:noVBand="1" w:val="04A0"/>
      </w:tblPr>
      <w:tblGrid>
        <w:gridCol w:w="3277"/>
        <w:gridCol w:w="3277"/>
        <w:gridCol w:w="3277"/>
      </w:tblGrid>
      <w:tr>
        <w:trPr>
          <w:tblHeader w:val="true"/>
          <w:cantSplit w:val="true"/>
        </w:trPr>
        <w:tc>
          <w:tcPr>
            <w:tcW w:type="dxa" w:w="2304"/>
            <w:shd w:fill="1F4E78"/>
            <w:tcMar>
              <w:top w:w="55" w:type="dxa"/>
              <w:start w:w="70" w:type="dxa"/>
              <w:bottom w:w="55" w:type="dxa"/>
              <w:end w:w="70" w:type="dxa"/>
            </w:tcMar>
            <w:vAlign w:val="center"/>
          </w:tcPr>
          <w:p>
            <w:pPr>
              <w:spacing w:after="0"/>
            </w:pPr>
            <w:r/>
            <w:r>
              <w:rPr>
                <w:rFonts w:ascii="Liberation Sans" w:hAnsi="Liberation Sans"/>
                <w:b/>
                <w:i w:val="0"/>
                <w:color w:val="FFFFFF"/>
                <w:sz w:val="16"/>
              </w:rPr>
              <w:t>Priority</w:t>
            </w:r>
          </w:p>
        </w:tc>
        <w:tc>
          <w:tcPr>
            <w:tcW w:type="dxa" w:w="3528"/>
            <w:shd w:fill="1F4E78"/>
            <w:tcMar>
              <w:top w:w="55" w:type="dxa"/>
              <w:start w:w="70" w:type="dxa"/>
              <w:bottom w:w="55" w:type="dxa"/>
              <w:end w:w="70" w:type="dxa"/>
            </w:tcMar>
            <w:vAlign w:val="center"/>
          </w:tcPr>
          <w:p>
            <w:pPr>
              <w:spacing w:after="0"/>
            </w:pPr>
            <w:r/>
            <w:r>
              <w:rPr>
                <w:rFonts w:ascii="Liberation Sans" w:hAnsi="Liberation Sans"/>
                <w:b/>
                <w:i w:val="0"/>
                <w:color w:val="FFFFFF"/>
                <w:sz w:val="16"/>
              </w:rPr>
              <w:t>Authority</w:t>
            </w:r>
          </w:p>
        </w:tc>
        <w:tc>
          <w:tcPr>
            <w:tcW w:type="dxa" w:w="3816"/>
            <w:shd w:fill="1F4E78"/>
            <w:tcMar>
              <w:top w:w="55" w:type="dxa"/>
              <w:start w:w="70" w:type="dxa"/>
              <w:bottom w:w="55" w:type="dxa"/>
              <w:end w:w="70" w:type="dxa"/>
            </w:tcMar>
            <w:vAlign w:val="center"/>
          </w:tcPr>
          <w:p>
            <w:pPr>
              <w:spacing w:after="0"/>
            </w:pPr>
            <w:r/>
            <w:r>
              <w:rPr>
                <w:rFonts w:ascii="Liberation Sans" w:hAnsi="Liberation Sans"/>
                <w:b/>
                <w:i w:val="0"/>
                <w:color w:val="FFFFFF"/>
                <w:sz w:val="16"/>
              </w:rPr>
              <w:t>Decision Rights</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1</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Ash - Project Lead and Final Authority</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Final scope, canon, major mechanics, production tier, personhood/representation, licensing, platform, budget, milestone and release approval.</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2</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Locked Project Direction</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Non-negotiable rules already established: POC retired, seed-generated production worlds, Godot/Summer Engine, Atlas boundaries, stable data and no new broad Atlas volume.</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3</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Canonical Source Documents</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Own their declared domains. Later replacement versions supersede earlier versions only through recorded change control.</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4</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Document 24L Roadmap Authority</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Controls production sequence, lifecycle, tiers, completeness, validation and revision roadmap until superseded by an approved Set 25 rule.</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4A</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Approved Set 26 Programme Direction</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Establishes the separate maritime scope, dependencies and parallel-development constraints until approved Set 26 documents become their own detailed authorities.</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5</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Lead Architect and Documentation Lead</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Prepares recommendations, identifies contradictions, maintains registers, drafts documents, proposes task decomposition and verifies cross-system completeness.</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6</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Implementation and Asset Tools</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Execute approved bounded work. They do not create canon, change scope or advance status without evidence and review.</w:t>
            </w:r>
          </w:p>
        </w:tc>
      </w:tr>
    </w:tbl>
    <w:p>
      <w:pPr>
        <w:spacing w:after="0"/>
      </w:pPr>
    </w:p>
    <w:p>
      <w:pPr>
        <w:pStyle w:val="Heading2"/>
        <w:keepNext/>
      </w:pPr>
      <w:r>
        <w:t>4.1 Decision Escalation</w:t>
      </w:r>
    </w:p>
    <w:p>
      <w:pPr>
        <w:pStyle w:val="Compact"/>
        <w:ind w:left="245" w:hanging="202"/>
      </w:pPr>
      <w:r>
        <w:rPr>
          <w:rFonts w:ascii="Liberation Sans" w:hAnsi="Liberation Sans"/>
          <w:b w:val="0"/>
          <w:i w:val="0"/>
          <w:color w:val="202E3E"/>
          <w:sz w:val="17"/>
        </w:rPr>
        <w:t>• Any change that alters player fantasy, final-game identity, production tier, major system boundary, first playable dimension, culture/personhood treatment, save compatibility, licensing policy, platform commitment or release gate requires Ash approval.</w:t>
      </w:r>
    </w:p>
    <w:p>
      <w:pPr>
        <w:pStyle w:val="Compact"/>
        <w:ind w:left="245" w:hanging="202"/>
      </w:pPr>
      <w:r>
        <w:rPr>
          <w:rFonts w:ascii="Liberation Sans" w:hAnsi="Liberation Sans"/>
          <w:b w:val="0"/>
          <w:i w:val="0"/>
          <w:color w:val="202E3E"/>
          <w:sz w:val="17"/>
        </w:rPr>
        <w:t>• Any change that alters stable IDs, canonical ownership, schema compatibility, content-pack dependencies, deterministic generation or persistence requires a recorded architecture decision and migration assessment.</w:t>
      </w:r>
    </w:p>
    <w:p>
      <w:pPr>
        <w:pStyle w:val="Compact"/>
        <w:ind w:left="245" w:hanging="202"/>
      </w:pPr>
      <w:r>
        <w:rPr>
          <w:rFonts w:ascii="Liberation Sans" w:hAnsi="Liberation Sans"/>
          <w:b w:val="0"/>
          <w:i w:val="0"/>
          <w:color w:val="202E3E"/>
          <w:sz w:val="17"/>
        </w:rPr>
        <w:t>• Any Set 26 proposal that changes a Set 25 kernel, main-document owner or existing Atlas authority requires a cross-set change record; maritime approval alone does not silently supersede those sources.</w:t>
      </w:r>
    </w:p>
    <w:p>
      <w:pPr>
        <w:pStyle w:val="Compact"/>
        <w:ind w:left="245" w:hanging="202"/>
      </w:pPr>
      <w:r>
        <w:rPr>
          <w:rFonts w:ascii="Liberation Sans" w:hAnsi="Liberation Sans"/>
          <w:b w:val="0"/>
          <w:i w:val="0"/>
          <w:color w:val="202E3E"/>
          <w:sz w:val="17"/>
        </w:rPr>
        <w:t>• Local implementation choices may be delegated only when they remain inside approved interfaces, budgets and acceptance criteria.</w:t>
      </w:r>
    </w:p>
    <w:p>
      <w:pPr>
        <w:pStyle w:val="Compact"/>
        <w:ind w:left="245" w:hanging="202"/>
      </w:pPr>
      <w:r>
        <w:rPr>
          <w:rFonts w:ascii="Liberation Sans" w:hAnsi="Liberation Sans"/>
          <w:b w:val="0"/>
          <w:i w:val="0"/>
          <w:color w:val="202E3E"/>
          <w:sz w:val="17"/>
        </w:rPr>
        <w:t>• Where two canonical documents conflict, no implementation task may choose one silently. The conflict is entered in the decision register and resolved by explicit supersession.</w:t>
      </w:r>
    </w:p>
    <w:p>
      <w:pPr>
        <w:pStyle w:val="Heading1"/>
        <w:keepNext/>
      </w:pPr>
      <w:r>
        <w:t>5. Post-POC Production Boundary</w:t>
      </w:r>
    </w:p>
    <w:p>
      <w:pPr>
        <w:widowControl/>
      </w:pPr>
      <w:r>
        <w:rPr>
          <w:rFonts w:ascii="Liberation Sans" w:hAnsi="Liberation Sans"/>
          <w:b w:val="0"/>
          <w:i w:val="0"/>
          <w:color w:val="202E3E"/>
          <w:sz w:val="18"/>
        </w:rPr>
        <w:t>The proof of concept proved that the core systems could connect. It is no longer the target world, tutorial, content roster or production architecture. The production boundary begins when normal builds and normal world manifests can operate without selecting or referencing POC identities.</w:t>
      </w:r>
    </w:p>
    <w:tbl>
      <w:tblPr>
        <w:tblStyle w:val="TableGrid"/>
        <w:tblW w:type="auto" w:w="0"/>
        <w:jc w:val="center"/>
        <w:tblLayout w:type="fixed"/>
        <w:tblLook w:firstColumn="1" w:firstRow="1" w:lastColumn="0" w:lastRow="0" w:noHBand="0" w:noVBand="1" w:val="04A0"/>
      </w:tblPr>
      <w:tblGrid>
        <w:gridCol w:w="3277"/>
        <w:gridCol w:w="3277"/>
        <w:gridCol w:w="3277"/>
      </w:tblGrid>
      <w:tr>
        <w:trPr>
          <w:tblHeader w:val="true"/>
          <w:cantSplit w:val="true"/>
        </w:trPr>
        <w:tc>
          <w:tcPr>
            <w:tcW w:type="dxa" w:w="2304"/>
            <w:shd w:fill="1F4E78"/>
            <w:tcMar>
              <w:top w:w="55" w:type="dxa"/>
              <w:start w:w="70" w:type="dxa"/>
              <w:bottom w:w="55" w:type="dxa"/>
              <w:end w:w="70" w:type="dxa"/>
            </w:tcMar>
            <w:vAlign w:val="center"/>
          </w:tcPr>
          <w:p>
            <w:pPr>
              <w:spacing w:after="0"/>
            </w:pPr>
            <w:r/>
            <w:r>
              <w:rPr>
                <w:rFonts w:ascii="Liberation Sans" w:hAnsi="Liberation Sans"/>
                <w:b/>
                <w:i w:val="0"/>
                <w:color w:val="FFFFFF"/>
                <w:sz w:val="16"/>
              </w:rPr>
              <w:t>POC Element</w:t>
            </w:r>
          </w:p>
        </w:tc>
        <w:tc>
          <w:tcPr>
            <w:tcW w:type="dxa" w:w="3528"/>
            <w:shd w:fill="1F4E78"/>
            <w:tcMar>
              <w:top w:w="55" w:type="dxa"/>
              <w:start w:w="70" w:type="dxa"/>
              <w:bottom w:w="55" w:type="dxa"/>
              <w:end w:w="70" w:type="dxa"/>
            </w:tcMar>
            <w:vAlign w:val="center"/>
          </w:tcPr>
          <w:p>
            <w:pPr>
              <w:spacing w:after="0"/>
            </w:pPr>
            <w:r/>
            <w:r>
              <w:rPr>
                <w:rFonts w:ascii="Liberation Sans" w:hAnsi="Liberation Sans"/>
                <w:b/>
                <w:i w:val="0"/>
                <w:color w:val="FFFFFF"/>
                <w:sz w:val="16"/>
              </w:rPr>
              <w:t>Production Treatment</w:t>
            </w:r>
          </w:p>
        </w:tc>
        <w:tc>
          <w:tcPr>
            <w:tcW w:type="dxa" w:w="3816"/>
            <w:shd w:fill="1F4E78"/>
            <w:tcMar>
              <w:top w:w="55" w:type="dxa"/>
              <w:start w:w="70" w:type="dxa"/>
              <w:bottom w:w="55" w:type="dxa"/>
              <w:end w:w="70" w:type="dxa"/>
            </w:tcMar>
            <w:vAlign w:val="center"/>
          </w:tcPr>
          <w:p>
            <w:pPr>
              <w:spacing w:after="0"/>
            </w:pPr>
            <w:r/>
            <w:r>
              <w:rPr>
                <w:rFonts w:ascii="Liberation Sans" w:hAnsi="Liberation Sans"/>
                <w:b/>
                <w:i w:val="0"/>
                <w:color w:val="FFFFFF"/>
                <w:sz w:val="16"/>
              </w:rPr>
              <w:t>Reusable Principle</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Forest Hamlet</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Archived; excluded from normal generation and canon.</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Generated settlement family, needs, projects, warehouses and social consequences.</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Fixed valley/start region</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Archived; excluded from production world presets.</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Seed-adaptive safe starts, suitability, discovery clues and capability fallbacks.</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Named POC villagers</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Archived identities.</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Persistent generated NPCs with roles, homes, relationships, memories and culture.</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Watchtower project</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Archived fixed project.</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Generic staged settlement projects with exact resources, builders, defences and outcomes.</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Scripted goblin raid</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Archived fixed encounter and timing.</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Dynamic pressure, warning, preparation, multiple threat sources, defence and aftermath.</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Fixed cave/ruin/camp arrangement</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Archived relationship graph.</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Procedural sites selected by suitability, history, ecology, faction pressure and fallback rules.</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Fixed portal destination</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Archived route.</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Seed-selected realm routes with access, safe return, fallback and migration-safe anchors.</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POC-specific HUD/quest wording</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Archived presentation.</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Generic generated-world UI, Codex, journal, event and uncertainty presentation.</w:t>
            </w:r>
          </w:p>
        </w:tc>
      </w:tr>
    </w:tbl>
    <w:p>
      <w:pPr>
        <w:spacing w:after="0"/>
      </w:pPr>
    </w:p>
    <w:tbl>
      <w:tblPr>
        <w:tblW w:type="auto" w:w="0"/>
        <w:jc w:val="center"/>
        <w:tblLayout w:type="fixed"/>
        <w:tblLook w:firstColumn="1" w:firstRow="1" w:lastColumn="0" w:lastRow="0" w:noHBand="0" w:noVBand="1" w:val="04A0"/>
      </w:tblPr>
      <w:tblGrid>
        <w:gridCol w:w="9831"/>
      </w:tblGrid>
      <w:tr>
        <w:tc>
          <w:tcPr>
            <w:tcW w:type="dxa" w:w="9648"/>
            <w:tcMar>
              <w:top w:w="75" w:type="dxa"/>
              <w:start w:w="90" w:type="dxa"/>
              <w:bottom w:w="75" w:type="dxa"/>
              <w:end w:w="90" w:type="dxa"/>
            </w:tcMar>
            <w:shd w:fill="1F4E78"/>
          </w:tcPr>
          <w:p>
            <w:r/>
            <w:r>
              <w:rPr>
                <w:rFonts w:ascii="Liberation Sans" w:hAnsi="Liberation Sans"/>
                <w:b/>
                <w:i w:val="0"/>
                <w:color w:val="FFFFFF"/>
                <w:sz w:val="18"/>
              </w:rPr>
              <w:t>Production Boundary Test</w:t>
            </w:r>
          </w:p>
        </w:tc>
      </w:tr>
      <w:tr>
        <w:tc>
          <w:tcPr>
            <w:tcW w:type="dxa" w:w="9648"/>
            <w:tcMar>
              <w:top w:w="75" w:type="dxa"/>
              <w:start w:w="90" w:type="dxa"/>
              <w:bottom w:w="75" w:type="dxa"/>
              <w:end w:w="90" w:type="dxa"/>
            </w:tcMar>
            <w:shd w:fill="DCE6F1"/>
          </w:tcPr>
          <w:p>
            <w:r/>
            <w:r>
              <w:rPr>
                <w:rFonts w:ascii="Liberation Sans" w:hAnsi="Liberation Sans"/>
                <w:b w:val="0"/>
                <w:i w:val="0"/>
                <w:color w:val="202E3E"/>
                <w:sz w:val="17"/>
              </w:rPr>
              <w:t>A build has crossed the production boundary only when the POC pack can be disabled and the game still creates a valid new world, provides progression-capability paths, loads registries, saves, migrates, runs tests and displays no unresolved reference to POC identities or fixed arrangements.</w:t>
            </w:r>
          </w:p>
        </w:tc>
      </w:tr>
    </w:tbl>
    <w:p>
      <w:pPr>
        <w:spacing w:after="0"/>
      </w:pPr>
    </w:p>
    <w:p>
      <w:pPr>
        <w:pStyle w:val="Heading1"/>
        <w:keepNext/>
      </w:pPr>
      <w:r>
        <w:t>6. POC Retirement Classification</w:t>
      </w:r>
    </w:p>
    <w:tbl>
      <w:tblPr>
        <w:tblStyle w:val="TableGrid"/>
        <w:tblW w:type="auto" w:w="0"/>
        <w:jc w:val="center"/>
        <w:tblLayout w:type="fixed"/>
        <w:tblLook w:firstColumn="1" w:firstRow="1" w:lastColumn="0" w:lastRow="0" w:noHBand="0" w:noVBand="1" w:val="04A0"/>
      </w:tblPr>
      <w:tblGrid>
        <w:gridCol w:w="3277"/>
        <w:gridCol w:w="3277"/>
        <w:gridCol w:w="3277"/>
      </w:tblGrid>
      <w:tr>
        <w:trPr>
          <w:tblHeader w:val="true"/>
          <w:cantSplit w:val="true"/>
        </w:trPr>
        <w:tc>
          <w:tcPr>
            <w:tcW w:type="dxa" w:w="2304"/>
            <w:shd w:fill="1F4E78"/>
            <w:tcMar>
              <w:top w:w="55" w:type="dxa"/>
              <w:start w:w="70" w:type="dxa"/>
              <w:bottom w:w="55" w:type="dxa"/>
              <w:end w:w="70" w:type="dxa"/>
            </w:tcMar>
            <w:vAlign w:val="center"/>
          </w:tcPr>
          <w:p>
            <w:pPr>
              <w:spacing w:after="0"/>
            </w:pPr>
            <w:r/>
            <w:r>
              <w:rPr>
                <w:rFonts w:ascii="Liberation Sans" w:hAnsi="Liberation Sans"/>
                <w:b/>
                <w:i w:val="0"/>
                <w:color w:val="FFFFFF"/>
                <w:sz w:val="16"/>
              </w:rPr>
              <w:t>Class</w:t>
            </w:r>
          </w:p>
        </w:tc>
        <w:tc>
          <w:tcPr>
            <w:tcW w:type="dxa" w:w="3528"/>
            <w:shd w:fill="1F4E78"/>
            <w:tcMar>
              <w:top w:w="55" w:type="dxa"/>
              <w:start w:w="70" w:type="dxa"/>
              <w:bottom w:w="55" w:type="dxa"/>
              <w:end w:w="70" w:type="dxa"/>
            </w:tcMar>
            <w:vAlign w:val="center"/>
          </w:tcPr>
          <w:p>
            <w:pPr>
              <w:spacing w:after="0"/>
            </w:pPr>
            <w:r/>
            <w:r>
              <w:rPr>
                <w:rFonts w:ascii="Liberation Sans" w:hAnsi="Liberation Sans"/>
                <w:b/>
                <w:i w:val="0"/>
                <w:color w:val="FFFFFF"/>
                <w:sz w:val="16"/>
              </w:rPr>
              <w:t>Definition</w:t>
            </w:r>
          </w:p>
        </w:tc>
        <w:tc>
          <w:tcPr>
            <w:tcW w:type="dxa" w:w="3816"/>
            <w:shd w:fill="1F4E78"/>
            <w:tcMar>
              <w:top w:w="55" w:type="dxa"/>
              <w:start w:w="70" w:type="dxa"/>
              <w:bottom w:w="55" w:type="dxa"/>
              <w:end w:w="70" w:type="dxa"/>
            </w:tcMar>
            <w:vAlign w:val="center"/>
          </w:tcPr>
          <w:p>
            <w:pPr>
              <w:spacing w:after="0"/>
            </w:pPr>
            <w:r/>
            <w:r>
              <w:rPr>
                <w:rFonts w:ascii="Liberation Sans" w:hAnsi="Liberation Sans"/>
                <w:b/>
                <w:i w:val="0"/>
                <w:color w:val="FFFFFF"/>
                <w:sz w:val="16"/>
              </w:rPr>
              <w:t>Action</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Retired Identity</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Named person, place, event, project, reward, portal, structure or arrangement created for the demonstration.</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Move to Archived Validation. Remove from normal manifests, generation and player-facing production documentation.</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Reusable Mechanic</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General system behaviour proven by the POC, such as staged construction, resource reservation, warning phases or persistent aftermath.</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Retain and rename generically. Bind to capabilities and generated definitions.</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Reusable Asset</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Model, texture, animation, sound, icon or structure module usable without preserving POC identity.</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Re-license/relabel, assign new stable asset ID and map to an approved production family.</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Regression Fixture</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POC scene, seed, save, scripted sequence or expected output used to detect breakage.</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Store in a non-shipping test pack with explicit fixture ownership and expected version.</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Obsolete Implementation</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Hardcoded code branch, coordinate, enum, literal, actor/scene assumption or data shortcut tied to the POC.</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Delete or replace. Preserve only a test that proves production no longer depends on it.</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Historical Documentation</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Old design sections, screenshots and build notes.</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Mark clearly as archived history; never cite as active production authority.</w:t>
            </w:r>
          </w:p>
        </w:tc>
      </w:tr>
    </w:tbl>
    <w:p>
      <w:pPr>
        <w:spacing w:after="0"/>
      </w:pPr>
    </w:p>
    <w:p>
      <w:pPr>
        <w:pStyle w:val="Heading2"/>
        <w:keepNext/>
      </w:pPr>
      <w:r>
        <w:t>6.1 No Silent Survival</w:t>
      </w:r>
    </w:p>
    <w:p>
      <w:pPr>
        <w:widowControl/>
      </w:pPr>
      <w:r>
        <w:rPr>
          <w:rFonts w:ascii="Liberation Sans" w:hAnsi="Liberation Sans"/>
          <w:b w:val="0"/>
          <w:i w:val="0"/>
          <w:color w:val="202E3E"/>
          <w:sz w:val="18"/>
        </w:rPr>
        <w:t>A POC element does not survive merely because it is convenient, already implemented or visually complete. Reuse requires explicit reclassification, a new production owner, a non-POC stable ID, a relationship package, asset provenance, acceptance criteria and proof that the element does not recreate the retired arrangement.</w:t>
      </w:r>
    </w:p>
    <w:p>
      <w:pPr>
        <w:pStyle w:val="Heading1"/>
        <w:keepNext/>
      </w:pPr>
      <w:r>
        <w:t>7. Archived Validation Pack Contract</w:t>
      </w:r>
    </w:p>
    <w:p>
      <w:pPr>
        <w:widowControl/>
      </w:pPr>
      <w:r>
        <w:rPr>
          <w:rFonts w:ascii="Liberation Sans" w:hAnsi="Liberation Sans"/>
          <w:b w:val="0"/>
          <w:i w:val="0"/>
          <w:color w:val="202E3E"/>
          <w:sz w:val="18"/>
        </w:rPr>
        <w:t>The recommended archive is a protected non-shipping content and test pack. Its exact namespace and manifest format are defined in Documents 25B and 25D, but its governance is locked here.</w:t>
      </w:r>
    </w:p>
    <w:tbl>
      <w:tblPr>
        <w:tblStyle w:val="TableGrid"/>
        <w:tblW w:type="auto" w:w="0"/>
        <w:jc w:val="center"/>
        <w:tblLayout w:type="fixed"/>
        <w:tblLook w:firstColumn="1" w:firstRow="1" w:lastColumn="0" w:lastRow="0" w:noHBand="0" w:noVBand="1" w:val="04A0"/>
      </w:tblPr>
      <w:tblGrid>
        <w:gridCol w:w="4915"/>
        <w:gridCol w:w="4915"/>
      </w:tblGrid>
      <w:tr>
        <w:trPr>
          <w:tblHeader w:val="true"/>
          <w:cantSplit w:val="true"/>
        </w:trPr>
        <w:tc>
          <w:tcPr>
            <w:tcW w:type="dxa" w:w="2520"/>
            <w:shd w:fill="1F4E78"/>
            <w:tcMar>
              <w:top w:w="55" w:type="dxa"/>
              <w:start w:w="70" w:type="dxa"/>
              <w:bottom w:w="55" w:type="dxa"/>
              <w:end w:w="70" w:type="dxa"/>
            </w:tcMar>
            <w:vAlign w:val="center"/>
          </w:tcPr>
          <w:p>
            <w:pPr>
              <w:spacing w:after="0"/>
            </w:pPr>
            <w:r/>
            <w:r>
              <w:rPr>
                <w:rFonts w:ascii="Liberation Sans" w:hAnsi="Liberation Sans"/>
                <w:b/>
                <w:i w:val="0"/>
                <w:color w:val="FFFFFF"/>
                <w:sz w:val="16"/>
              </w:rPr>
              <w:t>Requirement</w:t>
            </w:r>
          </w:p>
        </w:tc>
        <w:tc>
          <w:tcPr>
            <w:tcW w:type="dxa" w:w="7128"/>
            <w:shd w:fill="1F4E78"/>
            <w:tcMar>
              <w:top w:w="55" w:type="dxa"/>
              <w:start w:w="70" w:type="dxa"/>
              <w:bottom w:w="55" w:type="dxa"/>
              <w:end w:w="70" w:type="dxa"/>
            </w:tcMar>
            <w:vAlign w:val="center"/>
          </w:tcPr>
          <w:p>
            <w:pPr>
              <w:spacing w:after="0"/>
            </w:pPr>
            <w:r/>
            <w:r>
              <w:rPr>
                <w:rFonts w:ascii="Liberation Sans" w:hAnsi="Liberation Sans"/>
                <w:b/>
                <w:i w:val="0"/>
                <w:color w:val="FFFFFF"/>
                <w:sz w:val="16"/>
              </w:rPr>
              <w:t>Contract</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Isolation</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The archive pack is disabled in all normal production presets and cannot be selected by normal world generation.</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Protected Namespace</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Production packs may not write into, inherit from, alias to or hard-reference the archive namespace.</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Test-Only Loading</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Automated regression jobs may load the pack through an explicit test profile. Shipping packaging rejects it.</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Version Pinning</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Archived saves and fixtures declare the exact build, schema and content-pack versions they expect.</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No Canon Migration</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POC names and arrangements are not migrated into production canon. A reusable mechanic receives a new generic definition.</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Source Preservation</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Original files, screenshots, notes and build outputs remain available for historical comparison and regression analysis.</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Retirement Log</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Every migrated or deleted element records old ID, class, disposition, replacement if any, owner and verification evidence.</w:t>
            </w:r>
          </w:p>
        </w:tc>
      </w:tr>
    </w:tbl>
    <w:p>
      <w:pPr>
        <w:spacing w:after="0"/>
      </w:pPr>
    </w:p>
    <w:tbl>
      <w:tblPr>
        <w:tblW w:type="auto" w:w="0"/>
        <w:jc w:val="center"/>
        <w:tblLayout w:type="fixed"/>
        <w:tblLook w:firstColumn="1" w:firstRow="1" w:lastColumn="0" w:lastRow="0" w:noHBand="0" w:noVBand="1" w:val="04A0"/>
      </w:tblPr>
      <w:tblGrid>
        <w:gridCol w:w="9831"/>
      </w:tblGrid>
      <w:tr>
        <w:tc>
          <w:tcPr>
            <w:tcW w:type="dxa" w:w="9648"/>
            <w:tcMar>
              <w:top w:w="75" w:type="dxa"/>
              <w:start w:w="90" w:type="dxa"/>
              <w:bottom w:w="75" w:type="dxa"/>
              <w:end w:w="90" w:type="dxa"/>
            </w:tcMar>
            <w:shd w:fill="1F4E78"/>
          </w:tcPr>
          <w:p>
            <w:r/>
            <w:r>
              <w:rPr>
                <w:rFonts w:ascii="Liberation Sans" w:hAnsi="Liberation Sans"/>
                <w:b/>
                <w:i w:val="0"/>
                <w:color w:val="FFFFFF"/>
                <w:sz w:val="18"/>
              </w:rPr>
              <w:t>Archive Pack Non-Goal</w:t>
            </w:r>
          </w:p>
        </w:tc>
      </w:tr>
      <w:tr>
        <w:tc>
          <w:tcPr>
            <w:tcW w:type="dxa" w:w="9648"/>
            <w:tcMar>
              <w:top w:w="75" w:type="dxa"/>
              <w:start w:w="90" w:type="dxa"/>
              <w:bottom w:w="75" w:type="dxa"/>
              <w:end w:w="90" w:type="dxa"/>
            </w:tcMar>
            <w:shd w:fill="DCE6F1"/>
          </w:tcPr>
          <w:p>
            <w:r/>
            <w:r>
              <w:rPr>
                <w:rFonts w:ascii="Liberation Sans" w:hAnsi="Liberation Sans"/>
                <w:b w:val="0"/>
                <w:i w:val="0"/>
                <w:color w:val="202E3E"/>
                <w:sz w:val="17"/>
              </w:rPr>
              <w:t>The archive is not a fallback content pack and not a hidden tutorial dependency. It exists only to preserve history, fixtures and regression evidence.</w:t>
            </w:r>
          </w:p>
        </w:tc>
      </w:tr>
    </w:tbl>
    <w:p>
      <w:pPr>
        <w:spacing w:after="0"/>
      </w:pPr>
    </w:p>
    <w:p>
      <w:pPr>
        <w:pStyle w:val="Heading1"/>
        <w:keepNext/>
      </w:pPr>
      <w:r>
        <w:t>8. Production Branch, Save and Compatibility Baseline</w:t>
      </w:r>
    </w:p>
    <w:p>
      <w:pPr>
        <w:widowControl/>
      </w:pPr>
      <w:r>
        <w:rPr>
          <w:rFonts w:ascii="Liberation Sans" w:hAnsi="Liberation Sans"/>
          <w:b w:val="0"/>
          <w:i w:val="0"/>
          <w:color w:val="202E3E"/>
          <w:sz w:val="18"/>
        </w:rPr>
        <w:t>The production programme needs a clean compatibility boundary. The POC branch and saves remain valuable for regression, but production saves should not inherit a permanent obligation to preserve demonstration-only world identities.</w:t>
      </w:r>
    </w:p>
    <w:tbl>
      <w:tblPr>
        <w:tblStyle w:val="TableGrid"/>
        <w:tblW w:type="auto" w:w="0"/>
        <w:jc w:val="center"/>
        <w:tblLayout w:type="fixed"/>
        <w:tblLook w:firstColumn="1" w:firstRow="1" w:lastColumn="0" w:lastRow="0" w:noHBand="0" w:noVBand="1" w:val="04A0"/>
      </w:tblPr>
      <w:tblGrid>
        <w:gridCol w:w="4915"/>
        <w:gridCol w:w="4915"/>
      </w:tblGrid>
      <w:tr>
        <w:trPr>
          <w:tblHeader w:val="true"/>
          <w:cantSplit w:val="true"/>
        </w:trPr>
        <w:tc>
          <w:tcPr>
            <w:tcW w:type="dxa" w:w="2520"/>
            <w:shd w:fill="1F4E78"/>
            <w:tcMar>
              <w:top w:w="55" w:type="dxa"/>
              <w:start w:w="70" w:type="dxa"/>
              <w:bottom w:w="55" w:type="dxa"/>
              <w:end w:w="70" w:type="dxa"/>
            </w:tcMar>
            <w:vAlign w:val="center"/>
          </w:tcPr>
          <w:p>
            <w:pPr>
              <w:spacing w:after="0"/>
            </w:pPr>
            <w:r/>
            <w:r>
              <w:rPr>
                <w:rFonts w:ascii="Liberation Sans" w:hAnsi="Liberation Sans"/>
                <w:b/>
                <w:i w:val="0"/>
                <w:color w:val="FFFFFF"/>
                <w:sz w:val="16"/>
              </w:rPr>
              <w:t>Baseline Item</w:t>
            </w:r>
          </w:p>
        </w:tc>
        <w:tc>
          <w:tcPr>
            <w:tcW w:type="dxa" w:w="7128"/>
            <w:shd w:fill="1F4E78"/>
            <w:tcMar>
              <w:top w:w="55" w:type="dxa"/>
              <w:start w:w="70" w:type="dxa"/>
              <w:bottom w:w="55" w:type="dxa"/>
              <w:end w:w="70" w:type="dxa"/>
            </w:tcMar>
            <w:vAlign w:val="center"/>
          </w:tcPr>
          <w:p>
            <w:pPr>
              <w:spacing w:after="0"/>
            </w:pPr>
            <w:r/>
            <w:r>
              <w:rPr>
                <w:rFonts w:ascii="Liberation Sans" w:hAnsi="Liberation Sans"/>
                <w:b/>
                <w:i w:val="0"/>
                <w:color w:val="FFFFFF"/>
                <w:sz w:val="16"/>
              </w:rPr>
              <w:t>Governance Rule</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Last POC Build</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Tag and preserve the final build that proved the POC loop.</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Production Branch Point</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Create the production branch after archive isolation and record its initial schema, generation and pack versions.</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Production Save Epoch</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Normal save-compatibility guarantees begin with the first approved production save format, not with experimental POC worlds.</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POC Save Support</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POC saves remain loadable only in the archived validating build or a dedicated migration/test tool unless Ash later approves a public conversion path.</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Seed Lineage</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Production worlds store root seed, named sub-seed versions, world profile, generation version and enabled pack hashes.</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Explored-World Safety</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Updates must not silently regenerate explored production chunks or replace selected definitions without migration policy.</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Failure Recovery</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Migration failure preserves the original save, reports the blocking content/schema issue and avoids partial destructive writes.</w:t>
            </w:r>
          </w:p>
        </w:tc>
      </w:tr>
    </w:tbl>
    <w:p>
      <w:pPr>
        <w:spacing w:after="0"/>
      </w:pPr>
    </w:p>
    <w:p>
      <w:pPr>
        <w:widowControl/>
      </w:pPr>
      <w:r>
        <w:rPr>
          <w:rFonts w:ascii="Liberation Sans" w:hAnsi="Liberation Sans"/>
          <w:b w:val="0"/>
          <w:i w:val="0"/>
          <w:color w:val="202E3E"/>
          <w:sz w:val="18"/>
        </w:rPr>
        <w:t>The exact save file structure and compatibility ranges belong to the rewritten Document 18 and Document 25D. This document only establishes the boundary and approval requirement.</w:t>
      </w:r>
    </w:p>
    <w:p>
      <w:pPr>
        <w:pStyle w:val="Heading1"/>
        <w:keepNext/>
      </w:pPr>
      <w:r>
        <w:t>9. POC Reference Inventory and Leakage Scan</w:t>
      </w:r>
    </w:p>
    <w:p>
      <w:pPr>
        <w:widowControl/>
      </w:pPr>
      <w:r>
        <w:rPr>
          <w:rFonts w:ascii="Liberation Sans" w:hAnsi="Liberation Sans"/>
          <w:b w:val="0"/>
          <w:i w:val="0"/>
          <w:color w:val="202E3E"/>
          <w:sz w:val="18"/>
        </w:rPr>
        <w:t>POC retirement requires an inventory across documents, data, code and assets. A prose search alone cannot prove removal because the same dependency may survive as an ID, filename, scene path, enum, coordinate, comment, test constant, localisation key or fallback branch.</w:t>
      </w:r>
    </w:p>
    <w:tbl>
      <w:tblPr>
        <w:tblStyle w:val="TableGrid"/>
        <w:tblW w:type="auto" w:w="0"/>
        <w:jc w:val="center"/>
        <w:tblLayout w:type="fixed"/>
        <w:tblLook w:firstColumn="1" w:firstRow="1" w:lastColumn="0" w:lastRow="0" w:noHBand="0" w:noVBand="1" w:val="04A0"/>
      </w:tblPr>
      <w:tblGrid>
        <w:gridCol w:w="4915"/>
        <w:gridCol w:w="4915"/>
      </w:tblGrid>
      <w:tr>
        <w:trPr>
          <w:tblHeader w:val="true"/>
          <w:cantSplit w:val="true"/>
        </w:trPr>
        <w:tc>
          <w:tcPr>
            <w:tcW w:type="dxa" w:w="2520"/>
            <w:shd w:fill="1F4E78"/>
            <w:tcMar>
              <w:top w:w="55" w:type="dxa"/>
              <w:start w:w="70" w:type="dxa"/>
              <w:bottom w:w="55" w:type="dxa"/>
              <w:end w:w="70" w:type="dxa"/>
            </w:tcMar>
            <w:vAlign w:val="center"/>
          </w:tcPr>
          <w:p>
            <w:pPr>
              <w:spacing w:after="0"/>
            </w:pPr>
            <w:r/>
            <w:r>
              <w:rPr>
                <w:rFonts w:ascii="Liberation Sans" w:hAnsi="Liberation Sans"/>
                <w:b/>
                <w:i w:val="0"/>
                <w:color w:val="FFFFFF"/>
                <w:sz w:val="16"/>
              </w:rPr>
              <w:t>Scan Domain</w:t>
            </w:r>
          </w:p>
        </w:tc>
        <w:tc>
          <w:tcPr>
            <w:tcW w:type="dxa" w:w="7128"/>
            <w:shd w:fill="1F4E78"/>
            <w:tcMar>
              <w:top w:w="55" w:type="dxa"/>
              <w:start w:w="70" w:type="dxa"/>
              <w:bottom w:w="55" w:type="dxa"/>
              <w:end w:w="70" w:type="dxa"/>
            </w:tcMar>
            <w:vAlign w:val="center"/>
          </w:tcPr>
          <w:p>
            <w:pPr>
              <w:spacing w:after="0"/>
            </w:pPr>
            <w:r/>
            <w:r>
              <w:rPr>
                <w:rFonts w:ascii="Liberation Sans" w:hAnsi="Liberation Sans"/>
                <w:b/>
                <w:i w:val="0"/>
                <w:color w:val="FFFFFF"/>
                <w:sz w:val="16"/>
              </w:rPr>
              <w:t>Required Checks</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Documents</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Names, examples, required sequences, fixed timings, quantities, portal destinations, tutorial dependencies and POC acceptance criteria.</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Registries/Data</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POC status rows, IDs, aliases, tags, parent links, hard references, default providers, fallback groups and pack manifests.</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Godot Project</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Scenes, scripts, Resources, autoloads, node paths, groups, exported defaults, hardcoded coordinates, seed branches and preload paths.</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Summer Engine Tasks</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Prompts, task templates, source assumptions, generated file lists and acceptance tests referencing POC content.</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Assets</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Filenames, folders, metadata, icons, structure blueprints, animation events, socket names, sound/VFX cues and localisation.</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Tests</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Fixtures that accidentally run in production profiles, POC-only expected outputs and tests that assert fixed locations rather than capabilities.</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Build/Packaging</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Export presets, resource filters, pack lists, debug menus and development cheats that include archive content.</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Saves/Migrations</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Old IDs, tombstones, aliases, conversion logic and archive-only compatibility.</w:t>
            </w:r>
          </w:p>
        </w:tc>
      </w:tr>
    </w:tbl>
    <w:p>
      <w:pPr>
        <w:spacing w:after="0"/>
      </w:pPr>
    </w:p>
    <w:p>
      <w:pPr>
        <w:pStyle w:val="Heading2"/>
        <w:keepNext/>
      </w:pPr>
      <w:r>
        <w:t>9.1 Leakage Severity</w:t>
      </w:r>
    </w:p>
    <w:tbl>
      <w:tblPr>
        <w:tblStyle w:val="TableGrid"/>
        <w:tblW w:type="auto" w:w="0"/>
        <w:jc w:val="center"/>
        <w:tblLayout w:type="fixed"/>
        <w:tblLook w:firstColumn="1" w:firstRow="1" w:lastColumn="0" w:lastRow="0" w:noHBand="0" w:noVBand="1" w:val="04A0"/>
      </w:tblPr>
      <w:tblGrid>
        <w:gridCol w:w="3277"/>
        <w:gridCol w:w="3277"/>
        <w:gridCol w:w="3277"/>
      </w:tblGrid>
      <w:tr>
        <w:trPr>
          <w:tblHeader w:val="true"/>
          <w:cantSplit w:val="true"/>
        </w:trPr>
        <w:tc>
          <w:tcPr>
            <w:tcW w:type="dxa" w:w="2304"/>
            <w:shd w:fill="1F4E78"/>
            <w:tcMar>
              <w:top w:w="55" w:type="dxa"/>
              <w:start w:w="70" w:type="dxa"/>
              <w:bottom w:w="55" w:type="dxa"/>
              <w:end w:w="70" w:type="dxa"/>
            </w:tcMar>
            <w:vAlign w:val="center"/>
          </w:tcPr>
          <w:p>
            <w:pPr>
              <w:spacing w:after="0"/>
            </w:pPr>
            <w:r/>
            <w:r>
              <w:rPr>
                <w:rFonts w:ascii="Liberation Sans" w:hAnsi="Liberation Sans"/>
                <w:b/>
                <w:i w:val="0"/>
                <w:color w:val="FFFFFF"/>
                <w:sz w:val="16"/>
              </w:rPr>
              <w:t>Severity</w:t>
            </w:r>
          </w:p>
        </w:tc>
        <w:tc>
          <w:tcPr>
            <w:tcW w:type="dxa" w:w="3528"/>
            <w:shd w:fill="1F4E78"/>
            <w:tcMar>
              <w:top w:w="55" w:type="dxa"/>
              <w:start w:w="70" w:type="dxa"/>
              <w:bottom w:w="55" w:type="dxa"/>
              <w:end w:w="70" w:type="dxa"/>
            </w:tcMar>
            <w:vAlign w:val="center"/>
          </w:tcPr>
          <w:p>
            <w:pPr>
              <w:spacing w:after="0"/>
            </w:pPr>
            <w:r/>
            <w:r>
              <w:rPr>
                <w:rFonts w:ascii="Liberation Sans" w:hAnsi="Liberation Sans"/>
                <w:b/>
                <w:i w:val="0"/>
                <w:color w:val="FFFFFF"/>
                <w:sz w:val="16"/>
              </w:rPr>
              <w:t>Example</w:t>
            </w:r>
          </w:p>
        </w:tc>
        <w:tc>
          <w:tcPr>
            <w:tcW w:type="dxa" w:w="3816"/>
            <w:shd w:fill="1F4E78"/>
            <w:tcMar>
              <w:top w:w="55" w:type="dxa"/>
              <w:start w:w="70" w:type="dxa"/>
              <w:bottom w:w="55" w:type="dxa"/>
              <w:end w:w="70" w:type="dxa"/>
            </w:tcMar>
            <w:vAlign w:val="center"/>
          </w:tcPr>
          <w:p>
            <w:pPr>
              <w:spacing w:after="0"/>
            </w:pPr>
            <w:r/>
            <w:r>
              <w:rPr>
                <w:rFonts w:ascii="Liberation Sans" w:hAnsi="Liberation Sans"/>
                <w:b/>
                <w:i w:val="0"/>
                <w:color w:val="FFFFFF"/>
                <w:sz w:val="16"/>
              </w:rPr>
              <w:t>Release Treatment</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Blocker</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Normal seed selects Forest Hamlet, watchtower or fixed POC portal ID.</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Stop milestone and release.</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Critical</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Progression fallback resolves only through an archived POC provider.</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Stop integration until alternate provider exists.</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Major</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Player-facing production UI or documentation presents POC content as current canon.</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Correct before validation.</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Moderate</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Internal comments or test names use old wording but do not change runtime behaviour.</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Clean before Release Candidate.</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Minor</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Historical archive lacks a clear retired label.</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Correct during documentation audit.</w:t>
            </w:r>
          </w:p>
        </w:tc>
      </w:tr>
    </w:tbl>
    <w:p>
      <w:pPr>
        <w:spacing w:after="0"/>
      </w:pPr>
    </w:p>
    <w:p>
      <w:pPr>
        <w:pStyle w:val="Heading1"/>
        <w:keepNext/>
      </w:pPr>
      <w:r>
        <w:t>10. Legacy Cleanup Across Documents 00-18</w:t>
      </w:r>
    </w:p>
    <w:tbl>
      <w:tblPr>
        <w:tblStyle w:val="TableGrid"/>
        <w:tblW w:type="auto" w:w="0"/>
        <w:jc w:val="center"/>
        <w:tblLayout w:type="fixed"/>
        <w:tblLook w:firstColumn="1" w:firstRow="1" w:lastColumn="0" w:lastRow="0" w:noHBand="0" w:noVBand="1" w:val="04A0"/>
      </w:tblPr>
      <w:tblGrid>
        <w:gridCol w:w="3277"/>
        <w:gridCol w:w="3277"/>
        <w:gridCol w:w="3277"/>
      </w:tblGrid>
      <w:tr>
        <w:trPr>
          <w:tblHeader w:val="true"/>
          <w:cantSplit w:val="true"/>
        </w:trPr>
        <w:tc>
          <w:tcPr>
            <w:tcW w:type="dxa" w:w="2304"/>
            <w:shd w:fill="1F4E78"/>
            <w:tcMar>
              <w:top w:w="55" w:type="dxa"/>
              <w:start w:w="70" w:type="dxa"/>
              <w:bottom w:w="55" w:type="dxa"/>
              <w:end w:w="70" w:type="dxa"/>
            </w:tcMar>
            <w:vAlign w:val="center"/>
          </w:tcPr>
          <w:p>
            <w:pPr>
              <w:spacing w:after="0"/>
            </w:pPr>
            <w:r/>
            <w:r>
              <w:rPr>
                <w:rFonts w:ascii="Liberation Sans" w:hAnsi="Liberation Sans"/>
                <w:b/>
                <w:i w:val="0"/>
                <w:color w:val="FFFFFF"/>
                <w:sz w:val="16"/>
              </w:rPr>
              <w:t>Document Group</w:t>
            </w:r>
          </w:p>
        </w:tc>
        <w:tc>
          <w:tcPr>
            <w:tcW w:type="dxa" w:w="3528"/>
            <w:shd w:fill="1F4E78"/>
            <w:tcMar>
              <w:top w:w="55" w:type="dxa"/>
              <w:start w:w="70" w:type="dxa"/>
              <w:bottom w:w="55" w:type="dxa"/>
              <w:end w:w="70" w:type="dxa"/>
            </w:tcMar>
            <w:vAlign w:val="center"/>
          </w:tcPr>
          <w:p>
            <w:pPr>
              <w:spacing w:after="0"/>
            </w:pPr>
            <w:r/>
            <w:r>
              <w:rPr>
                <w:rFonts w:ascii="Liberation Sans" w:hAnsi="Liberation Sans"/>
                <w:b/>
                <w:i w:val="0"/>
                <w:color w:val="FFFFFF"/>
                <w:sz w:val="16"/>
              </w:rPr>
              <w:t>Required Treatment</w:t>
            </w:r>
          </w:p>
        </w:tc>
        <w:tc>
          <w:tcPr>
            <w:tcW w:type="dxa" w:w="3816"/>
            <w:shd w:fill="1F4E78"/>
            <w:tcMar>
              <w:top w:w="55" w:type="dxa"/>
              <w:start w:w="70" w:type="dxa"/>
              <w:bottom w:w="55" w:type="dxa"/>
              <w:end w:w="70" w:type="dxa"/>
            </w:tcMar>
            <w:vAlign w:val="center"/>
          </w:tcPr>
          <w:p>
            <w:pPr>
              <w:spacing w:after="0"/>
            </w:pPr>
            <w:r/>
            <w:r>
              <w:rPr>
                <w:rFonts w:ascii="Liberation Sans" w:hAnsi="Liberation Sans"/>
                <w:b/>
                <w:i w:val="0"/>
                <w:color w:val="FFFFFF"/>
                <w:sz w:val="16"/>
              </w:rPr>
              <w:t>Governance Gate</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00-02</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Revision pack: remove active POC target; add Atlas authority, seed-adaptive start, capability progression and production phase.</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No fixed opening, named village or POC completion target remains normative.</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03-06</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Complete replacements after classification: physical registries and progression chains become Atlas-driven and production-scoped.</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No POC Required rows or fixed watchtower/iron/mana path as mandatory progression.</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07-10</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Revision pack: generated cultures, settlements, automation contracts, magic packages, ecologies and threats replace fixed roster/chains.</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No fixed Forest Hamlet roster or scripted goblin/wisp tutorial dependency.</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11</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Complete replacement using 24A-24D and Set 25 schemas.</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No controlled valley or guaranteed named relationship graph.</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12-17</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Revision pack: sites, cultures, realms, events, combat and UI bind to selected Atlas packages and generated instances.</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No fixed sites, portal route, event participants or POC HUD assumptions.</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18</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Complete replacement for Godot/Summer Engine.</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No Unreal modules, C++/Blueprint ownership, World Partition or POC technical Definition of Done.</w:t>
            </w:r>
          </w:p>
        </w:tc>
      </w:tr>
    </w:tbl>
    <w:p>
      <w:pPr>
        <w:spacing w:after="0"/>
      </w:pPr>
    </w:p>
    <w:p>
      <w:pPr>
        <w:widowControl/>
      </w:pPr>
      <w:r>
        <w:rPr>
          <w:rFonts w:ascii="Liberation Sans" w:hAnsi="Liberation Sans"/>
          <w:b w:val="0"/>
          <w:i w:val="0"/>
          <w:color w:val="202E3E"/>
          <w:sz w:val="18"/>
        </w:rPr>
        <w:t>Revision packs are temporary supersession instruments. They must identify exact sections changed and later be consolidated into clean active versions so that the project does not accumulate permanent layers of contradictory amendments.</w:t>
      </w:r>
    </w:p>
    <w:p>
      <w:pPr>
        <w:widowControl/>
      </w:pPr>
      <w:r>
        <w:rPr>
          <w:rFonts w:ascii="Liberation Sans" w:hAnsi="Liberation Sans"/>
          <w:b w:val="0"/>
          <w:i w:val="0"/>
          <w:color w:val="202E3E"/>
          <w:sz w:val="18"/>
        </w:rPr>
        <w:t>Set 26-related amendments are tracked now but are not authored prematurely. The owning Set 26 document first defines the maritime contract; the corresponding main-document revision then records the accepted changes, dependencies, migration and supersession. Non-maritime post-POC cleanup may proceed without waiting for Set 26.</w:t>
      </w:r>
    </w:p>
    <w:p>
      <w:pPr>
        <w:pStyle w:val="Heading1"/>
        <w:keepNext/>
      </w:pPr>
      <w:r>
        <w:t>11. Supersession, Versioning and Change Control</w:t>
      </w:r>
    </w:p>
    <w:tbl>
      <w:tblPr>
        <w:tblW w:type="auto" w:w="0"/>
        <w:jc w:val="center"/>
        <w:tblLayout w:type="fixed"/>
        <w:tblLook w:firstColumn="1" w:firstRow="1" w:lastColumn="0" w:lastRow="0" w:noHBand="0" w:noVBand="1" w:val="04A0"/>
      </w:tblPr>
      <w:tblGrid>
        <w:gridCol w:w="9831"/>
      </w:tblGrid>
      <w:tr>
        <w:tc>
          <w:tcPr>
            <w:tcW w:type="dxa" w:w="9648"/>
            <w:tcMar>
              <w:top w:w="75" w:type="dxa"/>
              <w:start w:w="90" w:type="dxa"/>
              <w:bottom w:w="75" w:type="dxa"/>
              <w:end w:w="90" w:type="dxa"/>
            </w:tcMar>
            <w:shd w:fill="1F4E78"/>
          </w:tcPr>
          <w:p>
            <w:r/>
            <w:r>
              <w:rPr>
                <w:rFonts w:ascii="Liberation Sans" w:hAnsi="Liberation Sans"/>
                <w:b/>
                <w:i w:val="0"/>
                <w:color w:val="FFFFFF"/>
                <w:sz w:val="18"/>
              </w:rPr>
              <w:t>Change-Control Rule</w:t>
            </w:r>
          </w:p>
        </w:tc>
      </w:tr>
      <w:tr>
        <w:tc>
          <w:tcPr>
            <w:tcW w:type="dxa" w:w="9648"/>
            <w:tcMar>
              <w:top w:w="75" w:type="dxa"/>
              <w:start w:w="90" w:type="dxa"/>
              <w:bottom w:w="75" w:type="dxa"/>
              <w:end w:w="90" w:type="dxa"/>
            </w:tcMar>
            <w:shd w:fill="DCE6F1"/>
          </w:tcPr>
          <w:p>
            <w:r/>
            <w:r>
              <w:rPr>
                <w:rFonts w:ascii="Liberation Sans" w:hAnsi="Liberation Sans"/>
                <w:b w:val="0"/>
                <w:i w:val="0"/>
                <w:color w:val="202E3E"/>
                <w:sz w:val="17"/>
              </w:rPr>
              <w:t>A later document does not supersede an earlier rule merely by being newer. Supersession must identify the old source, exact affected rule, reason, replacement authority, compatibility effect, migration requirement and approval record.</w:t>
            </w:r>
          </w:p>
        </w:tc>
      </w:tr>
    </w:tbl>
    <w:p>
      <w:pPr>
        <w:spacing w:after="0"/>
      </w:pPr>
    </w:p>
    <w:tbl>
      <w:tblPr>
        <w:tblStyle w:val="TableGrid"/>
        <w:tblW w:type="auto" w:w="0"/>
        <w:jc w:val="center"/>
        <w:tblLayout w:type="fixed"/>
        <w:tblLook w:firstColumn="1" w:firstRow="1" w:lastColumn="0" w:lastRow="0" w:noHBand="0" w:noVBand="1" w:val="04A0"/>
      </w:tblPr>
      <w:tblGrid>
        <w:gridCol w:w="3277"/>
        <w:gridCol w:w="3277"/>
        <w:gridCol w:w="3277"/>
      </w:tblGrid>
      <w:tr>
        <w:trPr>
          <w:tblHeader w:val="true"/>
          <w:cantSplit w:val="true"/>
        </w:trPr>
        <w:tc>
          <w:tcPr>
            <w:tcW w:type="dxa" w:w="2304"/>
            <w:shd w:fill="1F4E78"/>
            <w:tcMar>
              <w:top w:w="55" w:type="dxa"/>
              <w:start w:w="70" w:type="dxa"/>
              <w:bottom w:w="55" w:type="dxa"/>
              <w:end w:w="70" w:type="dxa"/>
            </w:tcMar>
            <w:vAlign w:val="center"/>
          </w:tcPr>
          <w:p>
            <w:pPr>
              <w:spacing w:after="0"/>
            </w:pPr>
            <w:r/>
            <w:r>
              <w:rPr>
                <w:rFonts w:ascii="Liberation Sans" w:hAnsi="Liberation Sans"/>
                <w:b/>
                <w:i w:val="0"/>
                <w:color w:val="FFFFFF"/>
                <w:sz w:val="16"/>
              </w:rPr>
              <w:t>Change Class</w:t>
            </w:r>
          </w:p>
        </w:tc>
        <w:tc>
          <w:tcPr>
            <w:tcW w:type="dxa" w:w="3528"/>
            <w:shd w:fill="1F4E78"/>
            <w:tcMar>
              <w:top w:w="55" w:type="dxa"/>
              <w:start w:w="70" w:type="dxa"/>
              <w:bottom w:w="55" w:type="dxa"/>
              <w:end w:w="70" w:type="dxa"/>
            </w:tcMar>
            <w:vAlign w:val="center"/>
          </w:tcPr>
          <w:p>
            <w:pPr>
              <w:spacing w:after="0"/>
            </w:pPr>
            <w:r/>
            <w:r>
              <w:rPr>
                <w:rFonts w:ascii="Liberation Sans" w:hAnsi="Liberation Sans"/>
                <w:b/>
                <w:i w:val="0"/>
                <w:color w:val="FFFFFF"/>
                <w:sz w:val="16"/>
              </w:rPr>
              <w:t>Examples</w:t>
            </w:r>
          </w:p>
        </w:tc>
        <w:tc>
          <w:tcPr>
            <w:tcW w:type="dxa" w:w="3816"/>
            <w:shd w:fill="1F4E78"/>
            <w:tcMar>
              <w:top w:w="55" w:type="dxa"/>
              <w:start w:w="70" w:type="dxa"/>
              <w:bottom w:w="55" w:type="dxa"/>
              <w:end w:w="70" w:type="dxa"/>
            </w:tcMar>
            <w:vAlign w:val="center"/>
          </w:tcPr>
          <w:p>
            <w:pPr>
              <w:spacing w:after="0"/>
            </w:pPr>
            <w:r/>
            <w:r>
              <w:rPr>
                <w:rFonts w:ascii="Liberation Sans" w:hAnsi="Liberation Sans"/>
                <w:b/>
                <w:i w:val="0"/>
                <w:color w:val="FFFFFF"/>
                <w:sz w:val="16"/>
              </w:rPr>
              <w:t>Required Review</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Editorial</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Clarity, spelling, formatting, cross-reference correction with no design effect.</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Documentation review; no architecture decision.</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Design Clarification</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Resolves ambiguity without changing player-facing scope or technical contract.</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System owner and source-owner review.</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Design Change</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Changes progression, survival, content role, world behaviour, player choice or package completeness.</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Ash approval and dependency review.</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Schema Change</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Adds/removes/changes fields, types, cardinality, ID grammar or relationships.</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Architecture decision, migration plan, validator update and reverse-reference report.</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Content Change</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Adds, removes, replaces or reclassifies a production definition.</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Package owner, dependency and asset impact review.</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Compatibility Change</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Changes save loading, generation version, pack dependency, alias or removed-content treatment.</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Migration test, backup/recovery plan and explicit approval.</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Release-Scope Change</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Moves content between Core, Early Access, Full Release, Later Expansion or Tooling Research.</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Ash approval and milestone re-baseline.</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Major Expansion Admission</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Adds or changes an approved expansion programme, its package boundaries, required dependencies or closure obligations.</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Ash approval, cross-set dependency review and Set 25 admission record.</w:t>
            </w:r>
          </w:p>
        </w:tc>
      </w:tr>
    </w:tbl>
    <w:p>
      <w:pPr>
        <w:spacing w:after="0"/>
      </w:pPr>
    </w:p>
    <w:p>
      <w:pPr>
        <w:pStyle w:val="Heading2"/>
        <w:keepNext/>
      </w:pPr>
      <w:r>
        <w:t>11.1 Controlled Amendment Cadence for Sets 25 and 26</w:t>
      </w:r>
    </w:p>
    <w:p>
      <w:pPr>
        <w:pStyle w:val="Compact"/>
        <w:ind w:left="245" w:hanging="202"/>
      </w:pPr>
      <w:r>
        <w:rPr>
          <w:rFonts w:ascii="Liberation Sans" w:hAnsi="Liberation Sans"/>
          <w:b w:val="0"/>
          <w:i w:val="0"/>
          <w:color w:val="202E3E"/>
          <w:sz w:val="17"/>
        </w:rPr>
        <w:t>• Document 25A advances from v0.1 to v0.2 through this controlled maritime integration amendment.</w:t>
      </w:r>
    </w:p>
    <w:p>
      <w:pPr>
        <w:pStyle w:val="Compact"/>
        <w:ind w:left="245" w:hanging="202"/>
      </w:pPr>
      <w:r>
        <w:rPr>
          <w:rFonts w:ascii="Liberation Sans" w:hAnsi="Liberation Sans"/>
          <w:b w:val="0"/>
          <w:i w:val="0"/>
          <w:color w:val="202E3E"/>
          <w:sz w:val="17"/>
        </w:rPr>
        <w:t>• Document 25B receives one controlled v0.2 amendment before registry-heavy Set 26 work is finalised.</w:t>
      </w:r>
    </w:p>
    <w:p>
      <w:pPr>
        <w:pStyle w:val="Compact"/>
        <w:ind w:left="245" w:hanging="202"/>
      </w:pPr>
      <w:r>
        <w:rPr>
          <w:rFonts w:ascii="Liberation Sans" w:hAnsi="Liberation Sans"/>
          <w:b w:val="0"/>
          <w:i w:val="0"/>
          <w:color w:val="202E3E"/>
          <w:sz w:val="17"/>
        </w:rPr>
        <w:t>• 25A and 25B are not rewritten after every Set 26 document. Changes are accumulated through the decision, dependency, issue, change and integration registers.</w:t>
      </w:r>
    </w:p>
    <w:p>
      <w:pPr>
        <w:pStyle w:val="Compact"/>
        <w:ind w:left="245" w:hanging="202"/>
      </w:pPr>
      <w:r>
        <w:rPr>
          <w:rFonts w:ascii="Liberation Sans" w:hAnsi="Liberation Sans"/>
          <w:b w:val="0"/>
          <w:i w:val="0"/>
          <w:color w:val="202E3E"/>
          <w:sz w:val="17"/>
        </w:rPr>
        <w:t>• A later final integration revision is created when Set 26 is complete or sufficiently locked for package admission, downstream amendments and closure review.</w:t>
      </w:r>
    </w:p>
    <w:p>
      <w:pPr>
        <w:pStyle w:val="Compact"/>
        <w:ind w:left="245" w:hanging="202"/>
      </w:pPr>
      <w:r>
        <w:rPr>
          <w:rFonts w:ascii="Liberation Sans" w:hAnsi="Liberation Sans"/>
          <w:b w:val="0"/>
          <w:i w:val="0"/>
          <w:color w:val="202E3E"/>
          <w:sz w:val="17"/>
        </w:rPr>
        <w:t>• Editorial corrections may be issued without resetting the integration programme, but schema, namespace, ownership, migration or release changes follow their normal approval class.</w:t>
      </w:r>
    </w:p>
    <w:p>
      <w:pPr>
        <w:pStyle w:val="Compact"/>
        <w:ind w:left="245" w:hanging="202"/>
      </w:pPr>
      <w:r>
        <w:rPr>
          <w:rFonts w:ascii="Liberation Sans" w:hAnsi="Liberation Sans"/>
          <w:b w:val="0"/>
          <w:i w:val="0"/>
          <w:color w:val="202E3E"/>
          <w:sz w:val="17"/>
        </w:rPr>
        <w:t>• No Set 26 document may treat a pending 25B/25C/25D/25E rule as settled merely to keep drafting moving.</w:t>
      </w:r>
    </w:p>
    <w:p>
      <w:pPr>
        <w:pStyle w:val="Heading1"/>
        <w:keepNext/>
      </w:pPr>
      <w:r>
        <w:t>12. Decision Categories, Statuses and Evidence</w:t>
      </w:r>
    </w:p>
    <w:tbl>
      <w:tblPr>
        <w:tblStyle w:val="TableGrid"/>
        <w:tblW w:type="auto" w:w="0"/>
        <w:jc w:val="center"/>
        <w:tblLayout w:type="fixed"/>
        <w:tblLook w:firstColumn="1" w:firstRow="1" w:lastColumn="0" w:lastRow="0" w:noHBand="0" w:noVBand="1" w:val="04A0"/>
      </w:tblPr>
      <w:tblGrid>
        <w:gridCol w:w="3277"/>
        <w:gridCol w:w="3277"/>
        <w:gridCol w:w="3277"/>
      </w:tblGrid>
      <w:tr>
        <w:trPr>
          <w:tblHeader w:val="true"/>
          <w:cantSplit w:val="true"/>
        </w:trPr>
        <w:tc>
          <w:tcPr>
            <w:tcW w:type="dxa" w:w="2304"/>
            <w:shd w:fill="1F4E78"/>
            <w:tcMar>
              <w:top w:w="55" w:type="dxa"/>
              <w:start w:w="70" w:type="dxa"/>
              <w:bottom w:w="55" w:type="dxa"/>
              <w:end w:w="70" w:type="dxa"/>
            </w:tcMar>
            <w:vAlign w:val="center"/>
          </w:tcPr>
          <w:p>
            <w:pPr>
              <w:spacing w:after="0"/>
            </w:pPr>
            <w:r/>
            <w:r>
              <w:rPr>
                <w:rFonts w:ascii="Liberation Sans" w:hAnsi="Liberation Sans"/>
                <w:b/>
                <w:i w:val="0"/>
                <w:color w:val="FFFFFF"/>
                <w:sz w:val="16"/>
              </w:rPr>
              <w:t>Decision Status</w:t>
            </w:r>
          </w:p>
        </w:tc>
        <w:tc>
          <w:tcPr>
            <w:tcW w:type="dxa" w:w="3528"/>
            <w:shd w:fill="1F4E78"/>
            <w:tcMar>
              <w:top w:w="55" w:type="dxa"/>
              <w:start w:w="70" w:type="dxa"/>
              <w:bottom w:w="55" w:type="dxa"/>
              <w:end w:w="70" w:type="dxa"/>
            </w:tcMar>
            <w:vAlign w:val="center"/>
          </w:tcPr>
          <w:p>
            <w:pPr>
              <w:spacing w:after="0"/>
            </w:pPr>
            <w:r/>
            <w:r>
              <w:rPr>
                <w:rFonts w:ascii="Liberation Sans" w:hAnsi="Liberation Sans"/>
                <w:b/>
                <w:i w:val="0"/>
                <w:color w:val="FFFFFF"/>
                <w:sz w:val="16"/>
              </w:rPr>
              <w:t>Meaning</w:t>
            </w:r>
          </w:p>
        </w:tc>
        <w:tc>
          <w:tcPr>
            <w:tcW w:type="dxa" w:w="3816"/>
            <w:shd w:fill="1F4E78"/>
            <w:tcMar>
              <w:top w:w="55" w:type="dxa"/>
              <w:start w:w="70" w:type="dxa"/>
              <w:bottom w:w="55" w:type="dxa"/>
              <w:end w:w="70" w:type="dxa"/>
            </w:tcMar>
            <w:vAlign w:val="center"/>
          </w:tcPr>
          <w:p>
            <w:pPr>
              <w:spacing w:after="0"/>
            </w:pPr>
            <w:r/>
            <w:r>
              <w:rPr>
                <w:rFonts w:ascii="Liberation Sans" w:hAnsi="Liberation Sans"/>
                <w:b/>
                <w:i w:val="0"/>
                <w:color w:val="FFFFFF"/>
                <w:sz w:val="16"/>
              </w:rPr>
              <w:t>May Work Assume It?</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Locked</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Explicit project direction or approved non-negotiable rule.</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Yes, until Ash supersedes it.</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Approved Baseline</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Accepted working direction for Set 25 but still open to controlled refinement.</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Yes within declared boundaries.</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Pending Approval</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Material choice not yet confirmed.</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No. Work may analyse options only.</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Deferred</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Decision intentionally postponed until a prerequisite or prototype exists.</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Only the deferral boundary may be assumed.</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Rejected</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Option considered and explicitly not selected.</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No; prevent accidental reintroduction.</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Superseded</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Former decision replaced by a recorded later decision.</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No; retain for history and migration context.</w:t>
            </w:r>
          </w:p>
        </w:tc>
      </w:tr>
    </w:tbl>
    <w:p>
      <w:pPr>
        <w:spacing w:after="0"/>
      </w:pPr>
    </w:p>
    <w:p>
      <w:pPr>
        <w:pStyle w:val="Heading2"/>
        <w:keepNext/>
      </w:pPr>
      <w:r>
        <w:t>12.1 Decision Record Minimum Fields</w:t>
      </w:r>
    </w:p>
    <w:p>
      <w:pPr>
        <w:pStyle w:val="Compact"/>
        <w:ind w:left="245" w:hanging="202"/>
      </w:pPr>
      <w:r>
        <w:rPr>
          <w:rFonts w:ascii="Liberation Sans" w:hAnsi="Liberation Sans"/>
          <w:b w:val="0"/>
          <w:i w:val="0"/>
          <w:color w:val="202E3E"/>
          <w:sz w:val="17"/>
        </w:rPr>
        <w:t>• Decision ID, title and category.</w:t>
      </w:r>
    </w:p>
    <w:p>
      <w:pPr>
        <w:pStyle w:val="Compact"/>
        <w:ind w:left="245" w:hanging="202"/>
      </w:pPr>
      <w:r>
        <w:rPr>
          <w:rFonts w:ascii="Liberation Sans" w:hAnsi="Liberation Sans"/>
          <w:b w:val="0"/>
          <w:i w:val="0"/>
          <w:color w:val="202E3E"/>
          <w:sz w:val="17"/>
        </w:rPr>
        <w:t>• Status and approval authority.</w:t>
      </w:r>
    </w:p>
    <w:p>
      <w:pPr>
        <w:pStyle w:val="Compact"/>
        <w:ind w:left="245" w:hanging="202"/>
      </w:pPr>
      <w:r>
        <w:rPr>
          <w:rFonts w:ascii="Liberation Sans" w:hAnsi="Liberation Sans"/>
          <w:b w:val="0"/>
          <w:i w:val="0"/>
          <w:color w:val="202E3E"/>
          <w:sz w:val="17"/>
        </w:rPr>
        <w:t>• Source documents and conflicting rules.</w:t>
      </w:r>
    </w:p>
    <w:p>
      <w:pPr>
        <w:pStyle w:val="Compact"/>
        <w:ind w:left="245" w:hanging="202"/>
      </w:pPr>
      <w:r>
        <w:rPr>
          <w:rFonts w:ascii="Liberation Sans" w:hAnsi="Liberation Sans"/>
          <w:b w:val="0"/>
          <w:i w:val="0"/>
          <w:color w:val="202E3E"/>
          <w:sz w:val="17"/>
        </w:rPr>
        <w:t>• Options considered, including the no-change option.</w:t>
      </w:r>
    </w:p>
    <w:p>
      <w:pPr>
        <w:pStyle w:val="Compact"/>
        <w:ind w:left="245" w:hanging="202"/>
      </w:pPr>
      <w:r>
        <w:rPr>
          <w:rFonts w:ascii="Liberation Sans" w:hAnsi="Liberation Sans"/>
          <w:b w:val="0"/>
          <w:i w:val="0"/>
          <w:color w:val="202E3E"/>
          <w:sz w:val="17"/>
        </w:rPr>
        <w:t>• Chosen direction or pending question.</w:t>
      </w:r>
    </w:p>
    <w:p>
      <w:pPr>
        <w:pStyle w:val="Compact"/>
        <w:ind w:left="245" w:hanging="202"/>
      </w:pPr>
      <w:r>
        <w:rPr>
          <w:rFonts w:ascii="Liberation Sans" w:hAnsi="Liberation Sans"/>
          <w:b w:val="0"/>
          <w:i w:val="0"/>
          <w:color w:val="202E3E"/>
          <w:sz w:val="17"/>
        </w:rPr>
        <w:t>• Rationale and player-facing purpose.</w:t>
      </w:r>
    </w:p>
    <w:p>
      <w:pPr>
        <w:pStyle w:val="Compact"/>
        <w:ind w:left="245" w:hanging="202"/>
      </w:pPr>
      <w:r>
        <w:rPr>
          <w:rFonts w:ascii="Liberation Sans" w:hAnsi="Liberation Sans"/>
          <w:b w:val="0"/>
          <w:i w:val="0"/>
          <w:color w:val="202E3E"/>
          <w:sz w:val="17"/>
        </w:rPr>
        <w:t>• Dependencies and blocked documents/tasks.</w:t>
      </w:r>
    </w:p>
    <w:p>
      <w:pPr>
        <w:pStyle w:val="Compact"/>
        <w:ind w:left="245" w:hanging="202"/>
      </w:pPr>
      <w:r>
        <w:rPr>
          <w:rFonts w:ascii="Liberation Sans" w:hAnsi="Liberation Sans"/>
          <w:b w:val="0"/>
          <w:i w:val="0"/>
          <w:color w:val="202E3E"/>
          <w:sz w:val="17"/>
        </w:rPr>
        <w:t>• Save, migration, asset, performance and representation impacts.</w:t>
      </w:r>
    </w:p>
    <w:p>
      <w:pPr>
        <w:pStyle w:val="Compact"/>
        <w:ind w:left="245" w:hanging="202"/>
      </w:pPr>
      <w:r>
        <w:rPr>
          <w:rFonts w:ascii="Liberation Sans" w:hAnsi="Liberation Sans"/>
          <w:b w:val="0"/>
          <w:i w:val="0"/>
          <w:color w:val="202E3E"/>
          <w:sz w:val="17"/>
        </w:rPr>
        <w:t>• Validation or prototype evidence required.</w:t>
      </w:r>
    </w:p>
    <w:p>
      <w:pPr>
        <w:pStyle w:val="Compact"/>
        <w:ind w:left="245" w:hanging="202"/>
      </w:pPr>
      <w:r>
        <w:rPr>
          <w:rFonts w:ascii="Liberation Sans" w:hAnsi="Liberation Sans"/>
          <w:b w:val="0"/>
          <w:i w:val="0"/>
          <w:color w:val="202E3E"/>
          <w:sz w:val="17"/>
        </w:rPr>
        <w:t>• Date, version and supersession links.</w:t>
      </w:r>
    </w:p>
    <w:p>
      <w:pPr>
        <w:pStyle w:val="Heading1"/>
        <w:keepNext/>
      </w:pPr>
      <w:r>
        <w:t>13. Canonical Production Status Lifecycle</w:t>
      </w:r>
    </w:p>
    <w:p>
      <w:pPr>
        <w:widowControl/>
      </w:pPr>
      <w:r>
        <w:rPr>
          <w:rFonts w:ascii="Liberation Sans" w:hAnsi="Liberation Sans"/>
          <w:b w:val="0"/>
          <w:i w:val="0"/>
          <w:color w:val="202E3E"/>
          <w:sz w:val="18"/>
        </w:rPr>
        <w:t>Document 24L defines the lifecycle used as the approved Set 25 baseline. Status is evidence-based and applies to a specific definition or package version, not to a name in general.</w:t>
      </w:r>
    </w:p>
    <w:tbl>
      <w:tblPr>
        <w:tblStyle w:val="TableGrid"/>
        <w:tblW w:type="auto" w:w="0"/>
        <w:jc w:val="center"/>
        <w:tblLayout w:type="fixed"/>
        <w:tblLook w:firstColumn="1" w:firstRow="1" w:lastColumn="0" w:lastRow="0" w:noHBand="0" w:noVBand="1" w:val="04A0"/>
      </w:tblPr>
      <w:tblGrid>
        <w:gridCol w:w="3277"/>
        <w:gridCol w:w="3277"/>
        <w:gridCol w:w="3277"/>
      </w:tblGrid>
      <w:tr>
        <w:trPr>
          <w:tblHeader w:val="true"/>
          <w:cantSplit w:val="true"/>
        </w:trPr>
        <w:tc>
          <w:tcPr>
            <w:tcW w:type="dxa" w:w="2304"/>
            <w:shd w:fill="1F4E78"/>
            <w:tcMar>
              <w:top w:w="55" w:type="dxa"/>
              <w:start w:w="70" w:type="dxa"/>
              <w:bottom w:w="55" w:type="dxa"/>
              <w:end w:w="70" w:type="dxa"/>
            </w:tcMar>
            <w:vAlign w:val="center"/>
          </w:tcPr>
          <w:p>
            <w:pPr>
              <w:spacing w:after="0"/>
            </w:pPr>
            <w:r/>
            <w:r>
              <w:rPr>
                <w:rFonts w:ascii="Liberation Sans" w:hAnsi="Liberation Sans"/>
                <w:b/>
                <w:i w:val="0"/>
                <w:color w:val="FFFFFF"/>
                <w:sz w:val="16"/>
              </w:rPr>
              <w:t>Status</w:t>
            </w:r>
          </w:p>
        </w:tc>
        <w:tc>
          <w:tcPr>
            <w:tcW w:type="dxa" w:w="3528"/>
            <w:shd w:fill="1F4E78"/>
            <w:tcMar>
              <w:top w:w="55" w:type="dxa"/>
              <w:start w:w="70" w:type="dxa"/>
              <w:bottom w:w="55" w:type="dxa"/>
              <w:end w:w="70" w:type="dxa"/>
            </w:tcMar>
            <w:vAlign w:val="center"/>
          </w:tcPr>
          <w:p>
            <w:pPr>
              <w:spacing w:after="0"/>
            </w:pPr>
            <w:r/>
            <w:r>
              <w:rPr>
                <w:rFonts w:ascii="Liberation Sans" w:hAnsi="Liberation Sans"/>
                <w:b/>
                <w:i w:val="0"/>
                <w:color w:val="FFFFFF"/>
                <w:sz w:val="16"/>
              </w:rPr>
              <w:t>Minimum Meaning</w:t>
            </w:r>
          </w:p>
        </w:tc>
        <w:tc>
          <w:tcPr>
            <w:tcW w:type="dxa" w:w="3816"/>
            <w:shd w:fill="1F4E78"/>
            <w:tcMar>
              <w:top w:w="55" w:type="dxa"/>
              <w:start w:w="70" w:type="dxa"/>
              <w:bottom w:w="55" w:type="dxa"/>
              <w:end w:w="70" w:type="dxa"/>
            </w:tcMar>
            <w:vAlign w:val="center"/>
          </w:tcPr>
          <w:p>
            <w:pPr>
              <w:spacing w:after="0"/>
            </w:pPr>
            <w:r/>
            <w:r>
              <w:rPr>
                <w:rFonts w:ascii="Liberation Sans" w:hAnsi="Liberation Sans"/>
                <w:b/>
                <w:i w:val="0"/>
                <w:color w:val="FFFFFF"/>
                <w:sz w:val="16"/>
              </w:rPr>
              <w:t>May Ship?</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Concept</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Fantasy, purpose, rough role, owner and candidate links.</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No</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Foundation</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Stable draft ID, schema class, relationship intent, scope and initial completeness contract.</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No</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Specified</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Required fields, references, capabilities, variants, states, asset manifest and test plan documented.</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No</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Data Ready</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Machine-readable definition passes schema, namespace and reference validation.</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No</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Prototype Ready</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Placeholder/early assets and system bindings prove the complete interaction loop.</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Internal only</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Asset Ready</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Approved production assets, animations, icons, audio/VFX hooks and source files exist.</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Not alone</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Integrated</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Data, systems, assets, saves, worldgen, UI and authority work together.</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Internal/preview</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Validated</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Completeness, seed, gameplay, performance, accessibility, representation, migration and regression gates pass.</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Candidate</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Release Candidate</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Locked for the target milestone with no unresolved blocker; localisation and packaging complete.</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After release review</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Released</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Shipped and versioned; compatibility and feedback monitored.</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Yes</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Deprecated</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Still resolvable; replacement and migration published.</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Legacy only</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Archived</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Not selected by normal generation; retained for history, tests or old saves.</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No new generation</w:t>
            </w:r>
          </w:p>
        </w:tc>
      </w:tr>
    </w:tbl>
    <w:p>
      <w:pPr>
        <w:spacing w:after="0"/>
      </w:pPr>
    </w:p>
    <w:tbl>
      <w:tblPr>
        <w:tblW w:type="auto" w:w="0"/>
        <w:jc w:val="center"/>
        <w:tblLayout w:type="fixed"/>
        <w:tblLook w:firstColumn="1" w:firstRow="1" w:lastColumn="0" w:lastRow="0" w:noHBand="0" w:noVBand="1" w:val="04A0"/>
      </w:tblPr>
      <w:tblGrid>
        <w:gridCol w:w="9831"/>
      </w:tblGrid>
      <w:tr>
        <w:tc>
          <w:tcPr>
            <w:tcW w:type="dxa" w:w="9648"/>
            <w:tcMar>
              <w:top w:w="75" w:type="dxa"/>
              <w:start w:w="90" w:type="dxa"/>
              <w:bottom w:w="75" w:type="dxa"/>
              <w:end w:w="90" w:type="dxa"/>
            </w:tcMar>
            <w:shd w:fill="1F4E78"/>
          </w:tcPr>
          <w:p>
            <w:r/>
            <w:r>
              <w:rPr>
                <w:rFonts w:ascii="Liberation Sans" w:hAnsi="Liberation Sans"/>
                <w:b/>
                <w:i w:val="0"/>
                <w:color w:val="FFFFFF"/>
                <w:sz w:val="18"/>
              </w:rPr>
              <w:t>Status Integrity Rule</w:t>
            </w:r>
          </w:p>
        </w:tc>
      </w:tr>
      <w:tr>
        <w:tc>
          <w:tcPr>
            <w:tcW w:type="dxa" w:w="9648"/>
            <w:tcMar>
              <w:top w:w="75" w:type="dxa"/>
              <w:start w:w="90" w:type="dxa"/>
              <w:bottom w:w="75" w:type="dxa"/>
              <w:end w:w="90" w:type="dxa"/>
            </w:tcMar>
            <w:shd w:fill="DCE6F1"/>
          </w:tcPr>
          <w:p>
            <w:r/>
            <w:r>
              <w:rPr>
                <w:rFonts w:ascii="Liberation Sans" w:hAnsi="Liberation Sans"/>
                <w:b w:val="0"/>
                <w:i w:val="0"/>
                <w:color w:val="202E3E"/>
                <w:sz w:val="17"/>
              </w:rPr>
              <w:t>No status may be advanced by prose declaration alone. The required data, assets, integration, tests, migration treatment and approval evidence must exist and be linked from the production record.</w:t>
            </w:r>
          </w:p>
        </w:tc>
      </w:tr>
    </w:tbl>
    <w:p>
      <w:pPr>
        <w:spacing w:after="0"/>
      </w:pPr>
    </w:p>
    <w:p>
      <w:pPr>
        <w:widowControl/>
      </w:pPr>
      <w:r>
        <w:rPr>
          <w:rFonts w:ascii="Liberation Sans" w:hAnsi="Liberation Sans"/>
          <w:b w:val="0"/>
          <w:i w:val="0"/>
          <w:color w:val="202E3E"/>
          <w:sz w:val="18"/>
        </w:rPr>
        <w:t>The same lifecycle applies to Set 26 definitions and packages. A maritime document being drafted or approved does not by itself make its blocks, vessels, routes, assets or runtime systems Data Ready, Integrated or release-ready.</w:t>
      </w:r>
    </w:p>
    <w:p>
      <w:pPr>
        <w:pStyle w:val="Heading1"/>
        <w:keepNext/>
      </w:pPr>
      <w:r>
        <w:t>14. Production Tiers and Shipping Classification</w:t>
      </w:r>
    </w:p>
    <w:tbl>
      <w:tblPr>
        <w:tblStyle w:val="TableGrid"/>
        <w:tblW w:type="auto" w:w="0"/>
        <w:jc w:val="center"/>
        <w:tblLayout w:type="fixed"/>
        <w:tblLook w:firstColumn="1" w:firstRow="1" w:lastColumn="0" w:lastRow="0" w:noHBand="0" w:noVBand="1" w:val="04A0"/>
      </w:tblPr>
      <w:tblGrid>
        <w:gridCol w:w="3277"/>
        <w:gridCol w:w="3277"/>
        <w:gridCol w:w="3277"/>
      </w:tblGrid>
      <w:tr>
        <w:trPr>
          <w:tblHeader w:val="true"/>
          <w:cantSplit w:val="true"/>
        </w:trPr>
        <w:tc>
          <w:tcPr>
            <w:tcW w:type="dxa" w:w="2304"/>
            <w:shd w:fill="1F4E78"/>
            <w:tcMar>
              <w:top w:w="55" w:type="dxa"/>
              <w:start w:w="70" w:type="dxa"/>
              <w:bottom w:w="55" w:type="dxa"/>
              <w:end w:w="70" w:type="dxa"/>
            </w:tcMar>
            <w:vAlign w:val="center"/>
          </w:tcPr>
          <w:p>
            <w:pPr>
              <w:spacing w:after="0"/>
            </w:pPr>
            <w:r/>
            <w:r>
              <w:rPr>
                <w:rFonts w:ascii="Liberation Sans" w:hAnsi="Liberation Sans"/>
                <w:b/>
                <w:i w:val="0"/>
                <w:color w:val="FFFFFF"/>
                <w:sz w:val="16"/>
              </w:rPr>
              <w:t>Tier</w:t>
            </w:r>
          </w:p>
        </w:tc>
        <w:tc>
          <w:tcPr>
            <w:tcW w:type="dxa" w:w="3528"/>
            <w:shd w:fill="1F4E78"/>
            <w:tcMar>
              <w:top w:w="55" w:type="dxa"/>
              <w:start w:w="70" w:type="dxa"/>
              <w:bottom w:w="55" w:type="dxa"/>
              <w:end w:w="70" w:type="dxa"/>
            </w:tcMar>
            <w:vAlign w:val="center"/>
          </w:tcPr>
          <w:p>
            <w:pPr>
              <w:spacing w:after="0"/>
            </w:pPr>
            <w:r/>
            <w:r>
              <w:rPr>
                <w:rFonts w:ascii="Liberation Sans" w:hAnsi="Liberation Sans"/>
                <w:b/>
                <w:i w:val="0"/>
                <w:color w:val="FFFFFF"/>
                <w:sz w:val="16"/>
              </w:rPr>
              <w:t>Purpose</w:t>
            </w:r>
          </w:p>
        </w:tc>
        <w:tc>
          <w:tcPr>
            <w:tcW w:type="dxa" w:w="3816"/>
            <w:shd w:fill="1F4E78"/>
            <w:tcMar>
              <w:top w:w="55" w:type="dxa"/>
              <w:start w:w="70" w:type="dxa"/>
              <w:bottom w:w="55" w:type="dxa"/>
              <w:end w:w="70" w:type="dxa"/>
            </w:tcMar>
            <w:vAlign w:val="center"/>
          </w:tcPr>
          <w:p>
            <w:pPr>
              <w:spacing w:after="0"/>
            </w:pPr>
            <w:r/>
            <w:r>
              <w:rPr>
                <w:rFonts w:ascii="Liberation Sans" w:hAnsi="Liberation Sans"/>
                <w:b/>
                <w:i w:val="0"/>
                <w:color w:val="FFFFFF"/>
                <w:sz w:val="16"/>
              </w:rPr>
              <w:t>Selection Rule</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Core Production</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Smallest set proving the complete production identity: random world, multiple biomes, cultures, settlements, ecology, dungeons, bosses, automation, magic, events and at least one full dimension.</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Highest priority; every dependency complete and tested.</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Early Access</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Broadens replayability, cultures, sites, bosses, building and progression after the core is stable.</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Only complete packages with migration rules.</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Full Release</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Intended breadth for the first complete commercial version, including several dimensions and mature civilisation/world-state systems.</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Selected by capacity and quality, not Atlas count.</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Later Expansion</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New realms, cultures, ecologies, megadungeons, threats, systems or themed packs.</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Use stable extension points and preserve old seeds.</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Tooling Research</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Concepts blocked by Forge, rendering, simulation, networking, physics or authoring maturity.</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Do not promise until feasibility is proven.</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Archived Validation</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POC content and retired experiments.</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Excluded from normal generation and release registries.</w:t>
            </w:r>
          </w:p>
        </w:tc>
      </w:tr>
    </w:tbl>
    <w:p>
      <w:pPr>
        <w:spacing w:after="0"/>
      </w:pPr>
    </w:p>
    <w:p>
      <w:pPr>
        <w:widowControl/>
      </w:pPr>
      <w:r>
        <w:rPr>
          <w:rFonts w:ascii="Liberation Sans" w:hAnsi="Liberation Sans"/>
          <w:b w:val="0"/>
          <w:i w:val="0"/>
          <w:color w:val="202E3E"/>
          <w:sz w:val="18"/>
        </w:rPr>
        <w:t>Tier is not quality, rarity or lore importance. It is a production and shipping classification. A signature Atlas concept may remain Tooling Research while a simpler supporting package enters Core Production because it can be completed and validated.</w:t>
      </w:r>
    </w:p>
    <w:p>
      <w:pPr>
        <w:widowControl/>
      </w:pPr>
      <w:r>
        <w:rPr>
          <w:rFonts w:ascii="Liberation Sans" w:hAnsi="Liberation Sans"/>
          <w:b/>
          <w:i w:val="0"/>
          <w:color w:val="202E3E"/>
          <w:sz w:val="18"/>
        </w:rPr>
        <w:t>Set-numbering clarification:</w:t>
      </w:r>
      <w:r>
        <w:rPr>
          <w:rFonts w:ascii="Liberation Sans" w:hAnsi="Liberation Sans"/>
          <w:b w:val="0"/>
          <w:i w:val="0"/>
          <w:color w:val="202E3E"/>
          <w:sz w:val="18"/>
        </w:rPr>
        <w:t xml:space="preserve"> the word </w:t>
      </w:r>
      <w:r>
        <w:rPr>
          <w:rFonts w:ascii="Liberation Sans" w:hAnsi="Liberation Sans"/>
          <w:b w:val="0"/>
          <w:i/>
          <w:color w:val="202E3E"/>
          <w:sz w:val="18"/>
        </w:rPr>
        <w:t>Expansion</w:t>
      </w:r>
      <w:r>
        <w:rPr>
          <w:rFonts w:ascii="Liberation Sans" w:hAnsi="Liberation Sans"/>
          <w:b w:val="0"/>
          <w:i w:val="0"/>
          <w:color w:val="202E3E"/>
          <w:sz w:val="18"/>
        </w:rPr>
        <w:t xml:space="preserve"> in Document Set 26 describes a major design programme. It does not automatically classify every Set 26 package as the </w:t>
      </w:r>
      <w:r>
        <w:rPr>
          <w:rFonts w:ascii="Liberation Sans" w:hAnsi="Liberation Sans"/>
          <w:b/>
          <w:i w:val="0"/>
          <w:color w:val="202E3E"/>
          <w:sz w:val="18"/>
        </w:rPr>
        <w:t>Later Expansion</w:t>
      </w:r>
      <w:r>
        <w:rPr>
          <w:rFonts w:ascii="Liberation Sans" w:hAnsi="Liberation Sans"/>
          <w:b w:val="0"/>
          <w:i w:val="0"/>
          <w:color w:val="202E3E"/>
          <w:sz w:val="18"/>
        </w:rPr>
        <w:t xml:space="preserve"> production tier. Document 25F and 26A must classify maritime packages individually as Core Production, Early Access, Full Release, Later Expansion, Tooling Research or another approved milestone assignment.</w:t>
      </w:r>
    </w:p>
    <w:p>
      <w:pPr>
        <w:pStyle w:val="Heading1"/>
        <w:keepNext/>
      </w:pPr>
      <w:r>
        <w:t>15. Production Definition of Done Governance</w:t>
      </w:r>
    </w:p>
    <w:tbl>
      <w:tblPr>
        <w:tblStyle w:val="TableGrid"/>
        <w:tblW w:type="auto" w:w="0"/>
        <w:jc w:val="center"/>
        <w:tblLayout w:type="fixed"/>
        <w:tblLook w:firstColumn="1" w:firstRow="1" w:lastColumn="0" w:lastRow="0" w:noHBand="0" w:noVBand="1" w:val="04A0"/>
      </w:tblPr>
      <w:tblGrid>
        <w:gridCol w:w="4915"/>
        <w:gridCol w:w="4915"/>
      </w:tblGrid>
      <w:tr>
        <w:trPr>
          <w:tblHeader w:val="true"/>
          <w:cantSplit w:val="true"/>
        </w:trPr>
        <w:tc>
          <w:tcPr>
            <w:tcW w:type="dxa" w:w="2520"/>
            <w:shd w:fill="1F4E78"/>
            <w:tcMar>
              <w:top w:w="55" w:type="dxa"/>
              <w:start w:w="70" w:type="dxa"/>
              <w:bottom w:w="55" w:type="dxa"/>
              <w:end w:w="70" w:type="dxa"/>
            </w:tcMar>
            <w:vAlign w:val="center"/>
          </w:tcPr>
          <w:p>
            <w:pPr>
              <w:spacing w:after="0"/>
            </w:pPr>
            <w:r/>
            <w:r>
              <w:rPr>
                <w:rFonts w:ascii="Liberation Sans" w:hAnsi="Liberation Sans"/>
                <w:b/>
                <w:i w:val="0"/>
                <w:color w:val="FFFFFF"/>
                <w:sz w:val="16"/>
              </w:rPr>
              <w:t>Gate</w:t>
            </w:r>
          </w:p>
        </w:tc>
        <w:tc>
          <w:tcPr>
            <w:tcW w:type="dxa" w:w="7128"/>
            <w:shd w:fill="1F4E78"/>
            <w:tcMar>
              <w:top w:w="55" w:type="dxa"/>
              <w:start w:w="70" w:type="dxa"/>
              <w:bottom w:w="55" w:type="dxa"/>
              <w:end w:w="70" w:type="dxa"/>
            </w:tcMar>
            <w:vAlign w:val="center"/>
          </w:tcPr>
          <w:p>
            <w:pPr>
              <w:spacing w:after="0"/>
            </w:pPr>
            <w:r/>
            <w:r>
              <w:rPr>
                <w:rFonts w:ascii="Liberation Sans" w:hAnsi="Liberation Sans"/>
                <w:b/>
                <w:i w:val="0"/>
                <w:color w:val="FFFFFF"/>
                <w:sz w:val="16"/>
              </w:rPr>
              <w:t>Required Governance Evidence</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POC Removal</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Archive inventory, scan report and production manifest prove no active POC dependency.</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Registry Integrity</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Schema, namespace, alias, dependency, pack and reverse-reference reports pass.</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Expansion Admission</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Required and optional Set 26 packages declare owners, versions, dependency mode, compatibility range, absence/removal behaviour and admission status.</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Relationship Completeness</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Every selected package satisfies its domain contract and fallback requirements.</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World Generation</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Seed suites prove deterministic, diverse, traversable and progression-valid worlds.</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Physical Content</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Blocks, items, recipes, resources, drops, structures and rewards exist as real authoritative data.</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Living Simulation</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NPCs, settlements, ecology, automation, magic, threats, events and states persist near and far.</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Adventure</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Selected sites and bosses support discovery, preparation, multiple outcomes, rewards and aftermath.</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Presentation</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Required assets, animation, audio/VFX attachments, icons, UI, map, Codex and accessibility metadata exist.</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Technical Quality</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Packaged Godot build meets approved performance, save, recovery, authority, input and platform requirements.</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Cross-Pack Compatibility</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Supported builds and saves behave safely with approved maritime packages enabled, absent, version-mismatched or removed according to the declared policy.</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Documentation</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Active source documents, schemas, registry snapshots, change logs and deferrals match the build.</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Integration Closure</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Set 26 downstream amendment obligations are completed, explicitly deferred or excluded with approval; no unowned maritime integration debt remains hidden.</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Human Approval</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Ash approves scope, major decisions and milestone readiness.</w:t>
            </w:r>
          </w:p>
        </w:tc>
      </w:tr>
    </w:tbl>
    <w:p>
      <w:pPr>
        <w:spacing w:after="0"/>
      </w:pPr>
    </w:p>
    <w:p>
      <w:pPr>
        <w:pStyle w:val="Heading1"/>
        <w:keepNext/>
      </w:pPr>
      <w:r>
        <w:t>16. Source-of-Truth Ownership Governance</w:t>
      </w:r>
    </w:p>
    <w:p>
      <w:pPr>
        <w:widowControl/>
      </w:pPr>
      <w:r>
        <w:rPr>
          <w:rFonts w:ascii="Liberation Sans" w:hAnsi="Liberation Sans"/>
          <w:b w:val="0"/>
          <w:i w:val="0"/>
          <w:color w:val="202E3E"/>
          <w:sz w:val="18"/>
        </w:rPr>
        <w:t>The Atlas and gameplay registries have complementary ownership. The Atlas explains why and where content belongs; gameplay registries define what the executable object does. Runtime records store generated instances and changing state. Assets present the definition but do not own gameplay truth.</w:t>
      </w:r>
    </w:p>
    <w:tbl>
      <w:tblPr>
        <w:tblStyle w:val="TableGrid"/>
        <w:tblW w:type="auto" w:w="0"/>
        <w:jc w:val="center"/>
        <w:tblLayout w:type="fixed"/>
        <w:tblLook w:firstColumn="1" w:firstRow="1" w:lastColumn="0" w:lastRow="0" w:noHBand="0" w:noVBand="1" w:val="04A0"/>
      </w:tblPr>
      <w:tblGrid>
        <w:gridCol w:w="3277"/>
        <w:gridCol w:w="3277"/>
        <w:gridCol w:w="3277"/>
      </w:tblGrid>
      <w:tr>
        <w:trPr>
          <w:tblHeader w:val="true"/>
          <w:cantSplit w:val="true"/>
        </w:trPr>
        <w:tc>
          <w:tcPr>
            <w:tcW w:type="dxa" w:w="2304"/>
            <w:shd w:fill="1F4E78"/>
            <w:tcMar>
              <w:top w:w="55" w:type="dxa"/>
              <w:start w:w="70" w:type="dxa"/>
              <w:bottom w:w="55" w:type="dxa"/>
              <w:end w:w="70" w:type="dxa"/>
            </w:tcMar>
            <w:vAlign w:val="center"/>
          </w:tcPr>
          <w:p>
            <w:pPr>
              <w:spacing w:after="0"/>
            </w:pPr>
            <w:r/>
            <w:r>
              <w:rPr>
                <w:rFonts w:ascii="Liberation Sans" w:hAnsi="Liberation Sans"/>
                <w:b/>
                <w:i w:val="0"/>
                <w:color w:val="FFFFFF"/>
                <w:sz w:val="16"/>
              </w:rPr>
              <w:t>Concern</w:t>
            </w:r>
          </w:p>
        </w:tc>
        <w:tc>
          <w:tcPr>
            <w:tcW w:type="dxa" w:w="3528"/>
            <w:shd w:fill="1F4E78"/>
            <w:tcMar>
              <w:top w:w="55" w:type="dxa"/>
              <w:start w:w="70" w:type="dxa"/>
              <w:bottom w:w="55" w:type="dxa"/>
              <w:end w:w="70" w:type="dxa"/>
            </w:tcMar>
            <w:vAlign w:val="center"/>
          </w:tcPr>
          <w:p>
            <w:pPr>
              <w:spacing w:after="0"/>
            </w:pPr>
            <w:r/>
            <w:r>
              <w:rPr>
                <w:rFonts w:ascii="Liberation Sans" w:hAnsi="Liberation Sans"/>
                <w:b/>
                <w:i w:val="0"/>
                <w:color w:val="FFFFFF"/>
                <w:sz w:val="16"/>
              </w:rPr>
              <w:t>Canonical Owner</w:t>
            </w:r>
          </w:p>
        </w:tc>
        <w:tc>
          <w:tcPr>
            <w:tcW w:type="dxa" w:w="3816"/>
            <w:shd w:fill="1F4E78"/>
            <w:tcMar>
              <w:top w:w="55" w:type="dxa"/>
              <w:start w:w="70" w:type="dxa"/>
              <w:bottom w:w="55" w:type="dxa"/>
              <w:end w:w="70" w:type="dxa"/>
            </w:tcMar>
            <w:vAlign w:val="center"/>
          </w:tcPr>
          <w:p>
            <w:pPr>
              <w:spacing w:after="0"/>
            </w:pPr>
            <w:r/>
            <w:r>
              <w:rPr>
                <w:rFonts w:ascii="Liberation Sans" w:hAnsi="Liberation Sans"/>
                <w:b/>
                <w:i w:val="0"/>
                <w:color w:val="FFFFFF"/>
                <w:sz w:val="16"/>
              </w:rPr>
              <w:t>Allowed References</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World topology, history, suitability and content distribution</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24A-24D and later worldgen replacement.</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Gameplay systems query stable IDs, capabilities and generated instance bindings.</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Culture, faction and settlement identity</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24E and later identity/settlement revisions.</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NPC, economy, structure and quest systems attach behaviour without merging ancestry, culture, faction or citizenship.</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Ecology and creature world role</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24F.</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Creature/combat registries own stats, AI and actions; item registries own physical drops.</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Dungeons and site grammar</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24G.</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Structure, encounter, quest and loot systems bind to site definitions and sockets.</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Boss identity, territory, outcomes and aftermath</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24H.</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Combat owns exact action/stat definitions; event/world state executes consequences.</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Structures, routes and infrastructure context</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24I.</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Blocks and blueprints own physical composition; runtime owns damage/occupation state.</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Material ecology, provenance, scarcity and social value</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24J.</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Blocks/items/recipes own physical forms and transformations.</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History, arcs, event foundations and evidence</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24K.</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Quest/event runtime owns objective graphs, timing, participant bindings and active state.</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IDs, lifecycle, tiers, package contracts and validation</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24L, refined by Set 25.</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All domains consume common contracts.</w:t>
            </w:r>
          </w:p>
        </w:tc>
      </w:tr>
    </w:tbl>
    <w:p>
      <w:pPr>
        <w:spacing w:after="0"/>
      </w:pPr>
    </w:p>
    <w:p>
      <w:pPr>
        <w:pStyle w:val="Heading2"/>
        <w:keepNext/>
      </w:pPr>
      <w:r>
        <w:t>16.1 Maritime Ownership and Extension Boundary</w:t>
      </w:r>
    </w:p>
    <w:tbl>
      <w:tblPr>
        <w:tblStyle w:val="TableGrid"/>
        <w:tblW w:type="auto" w:w="0"/>
        <w:jc w:val="center"/>
        <w:tblLayout w:type="fixed"/>
        <w:tblLook w:firstColumn="1" w:firstRow="1" w:lastColumn="0" w:lastRow="0" w:noHBand="0" w:noVBand="1" w:val="04A0"/>
      </w:tblPr>
      <w:tblGrid>
        <w:gridCol w:w="2458"/>
        <w:gridCol w:w="2458"/>
        <w:gridCol w:w="2458"/>
        <w:gridCol w:w="2458"/>
      </w:tblGrid>
      <w:tr>
        <w:trPr>
          <w:tblHeader w:val="true"/>
          <w:cantSplit w:val="true"/>
        </w:trPr>
        <w:tc>
          <w:tcPr>
            <w:tcW w:type="dxa" w:w="1944"/>
            <w:shd w:fill="1F4E78"/>
            <w:tcMar>
              <w:top w:w="55" w:type="dxa"/>
              <w:start w:w="70" w:type="dxa"/>
              <w:bottom w:w="55" w:type="dxa"/>
              <w:end w:w="70" w:type="dxa"/>
            </w:tcMar>
            <w:vAlign w:val="center"/>
          </w:tcPr>
          <w:p>
            <w:pPr>
              <w:spacing w:after="0"/>
            </w:pPr>
            <w:r/>
            <w:r>
              <w:rPr>
                <w:rFonts w:ascii="Liberation Sans" w:hAnsi="Liberation Sans"/>
                <w:b/>
                <w:i w:val="0"/>
                <w:color w:val="FFFFFF"/>
                <w:sz w:val="16"/>
              </w:rPr>
              <w:t>Maritime Concern</w:t>
            </w:r>
          </w:p>
        </w:tc>
        <w:tc>
          <w:tcPr>
            <w:tcW w:type="dxa" w:w="2592"/>
            <w:shd w:fill="1F4E78"/>
            <w:tcMar>
              <w:top w:w="55" w:type="dxa"/>
              <w:start w:w="70" w:type="dxa"/>
              <w:bottom w:w="55" w:type="dxa"/>
              <w:end w:w="70" w:type="dxa"/>
            </w:tcMar>
            <w:vAlign w:val="center"/>
          </w:tcPr>
          <w:p>
            <w:pPr>
              <w:spacing w:after="0"/>
            </w:pPr>
            <w:r/>
            <w:r>
              <w:rPr>
                <w:rFonts w:ascii="Liberation Sans" w:hAnsi="Liberation Sans"/>
                <w:b/>
                <w:i w:val="0"/>
                <w:color w:val="FFFFFF"/>
                <w:sz w:val="16"/>
              </w:rPr>
              <w:t>Context / Design Owner</w:t>
            </w:r>
          </w:p>
        </w:tc>
        <w:tc>
          <w:tcPr>
            <w:tcW w:type="dxa" w:w="2520"/>
            <w:shd w:fill="1F4E78"/>
            <w:tcMar>
              <w:top w:w="55" w:type="dxa"/>
              <w:start w:w="70" w:type="dxa"/>
              <w:bottom w:w="55" w:type="dxa"/>
              <w:end w:w="70" w:type="dxa"/>
            </w:tcMar>
            <w:vAlign w:val="center"/>
          </w:tcPr>
          <w:p>
            <w:pPr>
              <w:spacing w:after="0"/>
            </w:pPr>
            <w:r/>
            <w:r>
              <w:rPr>
                <w:rFonts w:ascii="Liberation Sans" w:hAnsi="Liberation Sans"/>
                <w:b/>
                <w:i w:val="0"/>
                <w:color w:val="FFFFFF"/>
                <w:sz w:val="16"/>
              </w:rPr>
              <w:t>Executable / Runtime Owner</w:t>
            </w:r>
          </w:p>
        </w:tc>
        <w:tc>
          <w:tcPr>
            <w:tcW w:type="dxa" w:w="2592"/>
            <w:shd w:fill="1F4E78"/>
            <w:tcMar>
              <w:top w:w="55" w:type="dxa"/>
              <w:start w:w="70" w:type="dxa"/>
              <w:bottom w:w="55" w:type="dxa"/>
              <w:end w:w="70" w:type="dxa"/>
            </w:tcMar>
            <w:vAlign w:val="center"/>
          </w:tcPr>
          <w:p>
            <w:pPr>
              <w:spacing w:after="0"/>
            </w:pPr>
            <w:r/>
            <w:r>
              <w:rPr>
                <w:rFonts w:ascii="Liberation Sans" w:hAnsi="Liberation Sans"/>
                <w:b/>
                <w:i w:val="0"/>
                <w:color w:val="FFFFFF"/>
                <w:sz w:val="16"/>
              </w:rPr>
              <w:t>Set 25 Role</w:t>
            </w:r>
          </w:p>
        </w:tc>
      </w:tr>
      <w:tr>
        <w:trPr>
          <w:cantSplit w:val="true"/>
        </w:trPr>
        <w:tc>
          <w:tcPr>
            <w:tcW w:type="dxa" w:w="1944"/>
            <w:tcMar>
              <w:top w:w="55" w:type="dxa"/>
              <w:start w:w="70" w:type="dxa"/>
              <w:bottom w:w="55" w:type="dxa"/>
              <w:end w:w="70" w:type="dxa"/>
            </w:tcMar>
            <w:vAlign w:val="top"/>
          </w:tcPr>
          <w:p>
            <w:pPr>
              <w:spacing w:after="0"/>
            </w:pPr>
            <w:r/>
            <w:r>
              <w:rPr>
                <w:rFonts w:ascii="Liberation Sans" w:hAnsi="Liberation Sans"/>
                <w:b w:val="0"/>
                <w:i w:val="0"/>
                <w:color w:val="202E3E"/>
                <w:sz w:val="15"/>
              </w:rPr>
              <w:t>Ocean basins, coasts, islands, underwater regions and marine suitability</w:t>
            </w:r>
          </w:p>
        </w:tc>
        <w:tc>
          <w:tcPr>
            <w:tcW w:type="dxa" w:w="2592"/>
            <w:tcMar>
              <w:top w:w="55" w:type="dxa"/>
              <w:start w:w="70" w:type="dxa"/>
              <w:bottom w:w="55" w:type="dxa"/>
              <w:end w:w="70" w:type="dxa"/>
            </w:tcMar>
            <w:vAlign w:val="top"/>
          </w:tcPr>
          <w:p>
            <w:pPr>
              <w:spacing w:after="0"/>
            </w:pPr>
            <w:r/>
            <w:r>
              <w:rPr>
                <w:rFonts w:ascii="Liberation Sans" w:hAnsi="Liberation Sans"/>
                <w:b w:val="0"/>
                <w:i w:val="0"/>
                <w:color w:val="202E3E"/>
                <w:sz w:val="15"/>
              </w:rPr>
              <w:t>24C, extended by 26C-26D.</w:t>
            </w:r>
          </w:p>
        </w:tc>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Document 11 replacement and 26O technical bindings.</w:t>
            </w:r>
          </w:p>
        </w:tc>
        <w:tc>
          <w:tcPr>
            <w:tcW w:type="dxa" w:w="2592"/>
            <w:tcMar>
              <w:top w:w="55" w:type="dxa"/>
              <w:start w:w="70" w:type="dxa"/>
              <w:bottom w:w="55" w:type="dxa"/>
              <w:end w:w="70" w:type="dxa"/>
            </w:tcMar>
            <w:vAlign w:val="top"/>
          </w:tcPr>
          <w:p>
            <w:pPr>
              <w:spacing w:after="0"/>
            </w:pPr>
            <w:r/>
            <w:r>
              <w:rPr>
                <w:rFonts w:ascii="Liberation Sans" w:hAnsi="Liberation Sans"/>
                <w:b w:val="0"/>
                <w:i w:val="0"/>
                <w:color w:val="202E3E"/>
                <w:sz w:val="15"/>
              </w:rPr>
              <w:t>Schema admission, classification, validation and amendment tracking.</w:t>
            </w:r>
          </w:p>
        </w:tc>
      </w:tr>
      <w:tr>
        <w:trPr>
          <w:cantSplit w:val="true"/>
        </w:trPr>
        <w:tc>
          <w:tcPr>
            <w:tcW w:type="dxa" w:w="194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Water/liquid behaviour, waves, tides, currents and storm profiles</w:t>
            </w:r>
          </w:p>
        </w:tc>
        <w:tc>
          <w:tcPr>
            <w:tcW w:type="dxa" w:w="2592"/>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26B and 26D within 24C context.</w:t>
            </w:r>
          </w:p>
        </w:tc>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Document 18 replacement plus owning runtime services.</w:t>
            </w:r>
          </w:p>
        </w:tc>
        <w:tc>
          <w:tcPr>
            <w:tcW w:type="dxa" w:w="2592"/>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Require compatible identity, state, LOD, save and migration contracts.</w:t>
            </w:r>
          </w:p>
        </w:tc>
      </w:tr>
      <w:tr>
        <w:trPr>
          <w:cantSplit w:val="true"/>
        </w:trPr>
        <w:tc>
          <w:tcPr>
            <w:tcW w:type="dxa" w:w="1944"/>
            <w:tcMar>
              <w:top w:w="55" w:type="dxa"/>
              <w:start w:w="70" w:type="dxa"/>
              <w:bottom w:w="55" w:type="dxa"/>
              <w:end w:w="70" w:type="dxa"/>
            </w:tcMar>
            <w:vAlign w:val="top"/>
          </w:tcPr>
          <w:p>
            <w:pPr>
              <w:spacing w:after="0"/>
            </w:pPr>
            <w:r/>
            <w:r>
              <w:rPr>
                <w:rFonts w:ascii="Liberation Sans" w:hAnsi="Liberation Sans"/>
                <w:b w:val="0"/>
                <w:i w:val="0"/>
                <w:color w:val="202E3E"/>
                <w:sz w:val="15"/>
              </w:rPr>
              <w:t>Vessel classes, local voxel structures, components, blueprints and commissioning</w:t>
            </w:r>
          </w:p>
        </w:tc>
        <w:tc>
          <w:tcPr>
            <w:tcW w:type="dxa" w:w="2592"/>
            <w:tcMar>
              <w:top w:w="55" w:type="dxa"/>
              <w:start w:w="70" w:type="dxa"/>
              <w:bottom w:w="55" w:type="dxa"/>
              <w:end w:w="70" w:type="dxa"/>
            </w:tcMar>
            <w:vAlign w:val="top"/>
          </w:tcPr>
          <w:p>
            <w:pPr>
              <w:spacing w:after="0"/>
            </w:pPr>
            <w:r/>
            <w:r>
              <w:rPr>
                <w:rFonts w:ascii="Liberation Sans" w:hAnsi="Liberation Sans"/>
                <w:b w:val="0"/>
                <w:i w:val="0"/>
                <w:color w:val="202E3E"/>
                <w:sz w:val="15"/>
              </w:rPr>
              <w:t>26F-26I.</w:t>
            </w:r>
          </w:p>
        </w:tc>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Documents 03-08, 12 and 18 as amended.</w:t>
            </w:r>
          </w:p>
        </w:tc>
        <w:tc>
          <w:tcPr>
            <w:tcW w:type="dxa" w:w="2592"/>
            <w:tcMar>
              <w:top w:w="55" w:type="dxa"/>
              <w:start w:w="70" w:type="dxa"/>
              <w:bottom w:w="55" w:type="dxa"/>
              <w:end w:w="70" w:type="dxa"/>
            </w:tcMar>
            <w:vAlign w:val="top"/>
          </w:tcPr>
          <w:p>
            <w:pPr>
              <w:spacing w:after="0"/>
            </w:pPr>
            <w:r/>
            <w:r>
              <w:rPr>
                <w:rFonts w:ascii="Liberation Sans" w:hAnsi="Liberation Sans"/>
                <w:b w:val="0"/>
                <w:i w:val="0"/>
                <w:color w:val="202E3E"/>
                <w:sz w:val="15"/>
              </w:rPr>
              <w:t>Kernel extension, pack admission, physical-registry handoff and manifest gates.</w:t>
            </w:r>
          </w:p>
        </w:tc>
      </w:tr>
      <w:tr>
        <w:trPr>
          <w:cantSplit w:val="true"/>
        </w:trPr>
        <w:tc>
          <w:tcPr>
            <w:tcW w:type="dxa" w:w="194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Ports, harbours, shipyards, crews, fleets, trade and maritime power</w:t>
            </w:r>
          </w:p>
        </w:tc>
        <w:tc>
          <w:tcPr>
            <w:tcW w:type="dxa" w:w="2592"/>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26J-26K with 24E/24I context.</w:t>
            </w:r>
          </w:p>
        </w:tc>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Documents 07, 12, 13 and economy/route services.</w:t>
            </w:r>
          </w:p>
        </w:tc>
        <w:tc>
          <w:tcPr>
            <w:tcW w:type="dxa" w:w="2592"/>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Dependency matrix, source ownership and release admission.</w:t>
            </w:r>
          </w:p>
        </w:tc>
      </w:tr>
      <w:tr>
        <w:trPr>
          <w:cantSplit w:val="true"/>
        </w:trPr>
        <w:tc>
          <w:tcPr>
            <w:tcW w:type="dxa" w:w="1944"/>
            <w:tcMar>
              <w:top w:w="55" w:type="dxa"/>
              <w:start w:w="70" w:type="dxa"/>
              <w:bottom w:w="55" w:type="dxa"/>
              <w:end w:w="70" w:type="dxa"/>
            </w:tcMar>
            <w:vAlign w:val="top"/>
          </w:tcPr>
          <w:p>
            <w:pPr>
              <w:spacing w:after="0"/>
            </w:pPr>
            <w:r/>
            <w:r>
              <w:rPr>
                <w:rFonts w:ascii="Liberation Sans" w:hAnsi="Liberation Sans"/>
                <w:b w:val="0"/>
                <w:i w:val="0"/>
                <w:color w:val="202E3E"/>
                <w:sz w:val="15"/>
              </w:rPr>
              <w:t>Naval combat, boarding, flooding, fire and sinking</w:t>
            </w:r>
          </w:p>
        </w:tc>
        <w:tc>
          <w:tcPr>
            <w:tcW w:type="dxa" w:w="2592"/>
            <w:tcMar>
              <w:top w:w="55" w:type="dxa"/>
              <w:start w:w="70" w:type="dxa"/>
              <w:bottom w:w="55" w:type="dxa"/>
              <w:end w:w="70" w:type="dxa"/>
            </w:tcMar>
            <w:vAlign w:val="top"/>
          </w:tcPr>
          <w:p>
            <w:pPr>
              <w:spacing w:after="0"/>
            </w:pPr>
            <w:r/>
            <w:r>
              <w:rPr>
                <w:rFonts w:ascii="Liberation Sans" w:hAnsi="Liberation Sans"/>
                <w:b w:val="0"/>
                <w:i w:val="0"/>
                <w:color w:val="202E3E"/>
                <w:sz w:val="15"/>
              </w:rPr>
              <w:t>26L.</w:t>
            </w:r>
          </w:p>
        </w:tc>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Documents 10, 16 and 18 as amended.</w:t>
            </w:r>
          </w:p>
        </w:tc>
        <w:tc>
          <w:tcPr>
            <w:tcW w:type="dxa" w:w="2592"/>
            <w:tcMar>
              <w:top w:w="55" w:type="dxa"/>
              <w:start w:w="70" w:type="dxa"/>
              <w:bottom w:w="55" w:type="dxa"/>
              <w:end w:w="70" w:type="dxa"/>
            </w:tcMar>
            <w:vAlign w:val="top"/>
          </w:tcPr>
          <w:p>
            <w:pPr>
              <w:spacing w:after="0"/>
            </w:pPr>
            <w:r/>
            <w:r>
              <w:rPr>
                <w:rFonts w:ascii="Liberation Sans" w:hAnsi="Liberation Sans"/>
                <w:b w:val="0"/>
                <w:i w:val="0"/>
                <w:color w:val="202E3E"/>
                <w:sz w:val="15"/>
              </w:rPr>
              <w:t>Validation, authority, save/migration and production-gate requirements.</w:t>
            </w:r>
          </w:p>
        </w:tc>
      </w:tr>
      <w:tr>
        <w:trPr>
          <w:cantSplit w:val="true"/>
        </w:trPr>
        <w:tc>
          <w:tcPr>
            <w:tcW w:type="dxa" w:w="194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Marine ecology, fishing, sea monsters, sites, dungeons and bosses</w:t>
            </w:r>
          </w:p>
        </w:tc>
        <w:tc>
          <w:tcPr>
            <w:tcW w:type="dxa" w:w="2592"/>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24C/24F/24G/24H, extended by 26M.</w:t>
            </w:r>
          </w:p>
        </w:tc>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Documents 10, 12 and 16 as amended.</w:t>
            </w:r>
          </w:p>
        </w:tc>
        <w:tc>
          <w:tcPr>
            <w:tcW w:type="dxa" w:w="2592"/>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Classification, registry handoff and completeness contracts.</w:t>
            </w:r>
          </w:p>
        </w:tc>
      </w:tr>
      <w:tr>
        <w:trPr>
          <w:cantSplit w:val="true"/>
        </w:trPr>
        <w:tc>
          <w:tcPr>
            <w:tcW w:type="dxa" w:w="1944"/>
            <w:tcMar>
              <w:top w:w="55" w:type="dxa"/>
              <w:start w:w="70" w:type="dxa"/>
              <w:bottom w:w="55" w:type="dxa"/>
              <w:end w:w="70" w:type="dxa"/>
            </w:tcMar>
            <w:vAlign w:val="top"/>
          </w:tcPr>
          <w:p>
            <w:pPr>
              <w:spacing w:after="0"/>
            </w:pPr>
            <w:r/>
            <w:r>
              <w:rPr>
                <w:rFonts w:ascii="Liberation Sans" w:hAnsi="Liberation Sans"/>
                <w:b w:val="0"/>
                <w:i w:val="0"/>
                <w:color w:val="202E3E"/>
                <w:sz w:val="15"/>
              </w:rPr>
              <w:t>Maritime progression, items, recipes, magic, automation, quests and events</w:t>
            </w:r>
          </w:p>
        </w:tc>
        <w:tc>
          <w:tcPr>
            <w:tcW w:type="dxa" w:w="2592"/>
            <w:tcMar>
              <w:top w:w="55" w:type="dxa"/>
              <w:start w:w="70" w:type="dxa"/>
              <w:bottom w:w="55" w:type="dxa"/>
              <w:end w:w="70" w:type="dxa"/>
            </w:tcMar>
            <w:vAlign w:val="top"/>
          </w:tcPr>
          <w:p>
            <w:pPr>
              <w:spacing w:after="0"/>
            </w:pPr>
            <w:r/>
            <w:r>
              <w:rPr>
                <w:rFonts w:ascii="Liberation Sans" w:hAnsi="Liberation Sans"/>
                <w:b w:val="0"/>
                <w:i w:val="0"/>
                <w:color w:val="202E3E"/>
                <w:sz w:val="15"/>
              </w:rPr>
              <w:t>26N.</w:t>
            </w:r>
          </w:p>
        </w:tc>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Documents 02-09 and 15 as amended.</w:t>
            </w:r>
          </w:p>
        </w:tc>
        <w:tc>
          <w:tcPr>
            <w:tcW w:type="dxa" w:w="2592"/>
            <w:tcMar>
              <w:top w:w="55" w:type="dxa"/>
              <w:start w:w="70" w:type="dxa"/>
              <w:bottom w:w="55" w:type="dxa"/>
              <w:end w:w="70" w:type="dxa"/>
            </w:tcMar>
            <w:vAlign w:val="top"/>
          </w:tcPr>
          <w:p>
            <w:pPr>
              <w:spacing w:after="0"/>
            </w:pPr>
            <w:r/>
            <w:r>
              <w:rPr>
                <w:rFonts w:ascii="Liberation Sans" w:hAnsi="Liberation Sans"/>
                <w:b w:val="0"/>
                <w:i w:val="0"/>
                <w:color w:val="202E3E"/>
                <w:sz w:val="15"/>
              </w:rPr>
              <w:t>Ensure physical I/O, capability fallbacks, cross-pack validation and active-source updates.</w:t>
            </w:r>
          </w:p>
        </w:tc>
      </w:tr>
      <w:tr>
        <w:trPr>
          <w:cantSplit w:val="true"/>
        </w:trPr>
        <w:tc>
          <w:tcPr>
            <w:tcW w:type="dxa" w:w="194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Maritime UI, multiplayer, moving interiors, performance and QA</w:t>
            </w:r>
          </w:p>
        </w:tc>
        <w:tc>
          <w:tcPr>
            <w:tcW w:type="dxa" w:w="2592"/>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26O.</w:t>
            </w:r>
          </w:p>
        </w:tc>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Documents 17-18 as amended.</w:t>
            </w:r>
          </w:p>
        </w:tc>
        <w:tc>
          <w:tcPr>
            <w:tcW w:type="dxa" w:w="2592"/>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Final admission, integration evidence and 25L closure.</w:t>
            </w:r>
          </w:p>
        </w:tc>
      </w:tr>
    </w:tbl>
    <w:p>
      <w:pPr>
        <w:spacing w:after="0"/>
      </w:pPr>
    </w:p>
    <w:p>
      <w:pPr>
        <w:widowControl/>
      </w:pPr>
      <w:r>
        <w:rPr>
          <w:rFonts w:ascii="Liberation Sans" w:hAnsi="Liberation Sans"/>
          <w:b w:val="0"/>
          <w:i w:val="0"/>
          <w:color w:val="202E3E"/>
          <w:sz w:val="18"/>
        </w:rPr>
        <w:t>Set 25 may reserve general extension mechanisms and identifiers required for compatibility. It may not define detailed hydrodynamics, vessel physics, crew simulation, naval combat rules or maritime content rosters that belong to Set 26.</w:t>
      </w:r>
    </w:p>
    <w:tbl>
      <w:tblPr>
        <w:tblStyle w:val="TableGrid"/>
        <w:tblW w:type="auto" w:w="0"/>
        <w:jc w:val="center"/>
        <w:tblLayout w:type="fixed"/>
        <w:tblLook w:firstColumn="1" w:firstRow="1" w:lastColumn="0" w:lastRow="0" w:noHBand="0" w:noVBand="1" w:val="04A0"/>
      </w:tblPr>
      <w:tblGrid>
        <w:gridCol w:w="3277"/>
        <w:gridCol w:w="3277"/>
        <w:gridCol w:w="3277"/>
      </w:tblGrid>
      <w:tr>
        <w:trPr>
          <w:tblHeader w:val="true"/>
          <w:cantSplit w:val="true"/>
        </w:trPr>
        <w:tc>
          <w:tcPr>
            <w:tcW w:type="dxa" w:w="2304"/>
            <w:shd w:fill="1F4E78"/>
            <w:tcMar>
              <w:top w:w="55" w:type="dxa"/>
              <w:start w:w="70" w:type="dxa"/>
              <w:bottom w:w="55" w:type="dxa"/>
              <w:end w:w="70" w:type="dxa"/>
            </w:tcMar>
            <w:vAlign w:val="center"/>
          </w:tcPr>
          <w:p>
            <w:pPr>
              <w:spacing w:after="0"/>
            </w:pPr>
            <w:r/>
            <w:r>
              <w:rPr>
                <w:rFonts w:ascii="Liberation Sans" w:hAnsi="Liberation Sans"/>
                <w:b/>
                <w:i w:val="0"/>
                <w:color w:val="FFFFFF"/>
                <w:sz w:val="16"/>
              </w:rPr>
              <w:t>Executable block/item/recipe/machine/spell/NPC/combat/quest/UI definitions</w:t>
            </w:r>
          </w:p>
        </w:tc>
        <w:tc>
          <w:tcPr>
            <w:tcW w:type="dxa" w:w="3528"/>
            <w:shd w:fill="1F4E78"/>
            <w:tcMar>
              <w:top w:w="55" w:type="dxa"/>
              <w:start w:w="70" w:type="dxa"/>
              <w:bottom w:w="55" w:type="dxa"/>
              <w:end w:w="70" w:type="dxa"/>
            </w:tcMar>
            <w:vAlign w:val="center"/>
          </w:tcPr>
          <w:p>
            <w:pPr>
              <w:spacing w:after="0"/>
            </w:pPr>
            <w:r/>
            <w:r>
              <w:rPr>
                <w:rFonts w:ascii="Liberation Sans" w:hAnsi="Liberation Sans"/>
                <w:b/>
                <w:i w:val="0"/>
                <w:color w:val="FFFFFF"/>
                <w:sz w:val="16"/>
              </w:rPr>
              <w:t>Revised gameplay registries and system documents.</w:t>
            </w:r>
          </w:p>
        </w:tc>
        <w:tc>
          <w:tcPr>
            <w:tcW w:type="dxa" w:w="3816"/>
            <w:shd w:fill="1F4E78"/>
            <w:tcMar>
              <w:top w:w="55" w:type="dxa"/>
              <w:start w:w="70" w:type="dxa"/>
              <w:bottom w:w="55" w:type="dxa"/>
              <w:end w:w="70" w:type="dxa"/>
            </w:tcMar>
            <w:vAlign w:val="center"/>
          </w:tcPr>
          <w:p>
            <w:pPr>
              <w:spacing w:after="0"/>
            </w:pPr>
            <w:r/>
            <w:r>
              <w:rPr>
                <w:rFonts w:ascii="Liberation Sans" w:hAnsi="Liberation Sans"/>
                <w:b/>
                <w:i w:val="0"/>
                <w:color w:val="FFFFFF"/>
                <w:sz w:val="16"/>
              </w:rPr>
              <w:t>Atlas references capabilities and world roles without duplicating executable values.</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Generated instance state</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Runtime records and saves.</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Definitions remain immutable; nodes/actors present records rather than becoming truth.</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Models, textures, rigs, animation, audio and VFX source files</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Forge/audio/VFX asset pipelines.</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Registry manifests reference asset IDs and events; assets do not define gameplay rules.</w:t>
            </w:r>
          </w:p>
        </w:tc>
      </w:tr>
    </w:tbl>
    <w:p>
      <w:pPr>
        <w:spacing w:after="0"/>
      </w:pPr>
    </w:p>
    <w:tbl>
      <w:tblPr>
        <w:tblW w:type="auto" w:w="0"/>
        <w:jc w:val="center"/>
        <w:tblLayout w:type="fixed"/>
        <w:tblLook w:firstColumn="1" w:firstRow="1" w:lastColumn="0" w:lastRow="0" w:noHBand="0" w:noVBand="1" w:val="04A0"/>
      </w:tblPr>
      <w:tblGrid>
        <w:gridCol w:w="9831"/>
      </w:tblGrid>
      <w:tr>
        <w:tc>
          <w:tcPr>
            <w:tcW w:type="dxa" w:w="9648"/>
            <w:tcMar>
              <w:top w:w="75" w:type="dxa"/>
              <w:start w:w="90" w:type="dxa"/>
              <w:bottom w:w="75" w:type="dxa"/>
              <w:end w:w="90" w:type="dxa"/>
            </w:tcMar>
            <w:shd w:fill="1F4E78"/>
          </w:tcPr>
          <w:p>
            <w:r/>
            <w:r>
              <w:rPr>
                <w:rFonts w:ascii="Liberation Sans" w:hAnsi="Liberation Sans"/>
                <w:b/>
                <w:i w:val="0"/>
                <w:color w:val="FFFFFF"/>
                <w:sz w:val="18"/>
              </w:rPr>
              <w:t>Duplicate Truth Rule</w:t>
            </w:r>
          </w:p>
        </w:tc>
      </w:tr>
      <w:tr>
        <w:tc>
          <w:tcPr>
            <w:tcW w:type="dxa" w:w="9648"/>
            <w:tcMar>
              <w:top w:w="75" w:type="dxa"/>
              <w:start w:w="90" w:type="dxa"/>
              <w:bottom w:w="75" w:type="dxa"/>
              <w:end w:w="90" w:type="dxa"/>
            </w:tcMar>
            <w:shd w:fill="DCE6F1"/>
          </w:tcPr>
          <w:p>
            <w:r/>
            <w:r>
              <w:rPr>
                <w:rFonts w:ascii="Liberation Sans" w:hAnsi="Liberation Sans"/>
                <w:b w:val="0"/>
                <w:i w:val="0"/>
                <w:color w:val="202E3E"/>
                <w:sz w:val="17"/>
              </w:rPr>
              <w:t>A summary may repeat information for readability only when it is visibly non-canonical or generated. Two editable sources may not own the same gameplay field, relationship, ID, balance value or migration rule.</w:t>
            </w:r>
          </w:p>
        </w:tc>
      </w:tr>
    </w:tbl>
    <w:p>
      <w:pPr>
        <w:spacing w:after="0"/>
      </w:pPr>
    </w:p>
    <w:p>
      <w:pPr>
        <w:pStyle w:val="Heading1"/>
        <w:keepNext/>
      </w:pPr>
      <w:r>
        <w:t>17. Core Production Scope Governance</w:t>
      </w:r>
    </w:p>
    <w:p>
      <w:pPr>
        <w:widowControl/>
      </w:pPr>
      <w:r>
        <w:rPr>
          <w:rFonts w:ascii="Liberation Sans" w:hAnsi="Liberation Sans"/>
          <w:b w:val="0"/>
          <w:i w:val="0"/>
          <w:color w:val="202E3E"/>
          <w:sz w:val="18"/>
        </w:rPr>
        <w:t>Core Production must prove the identity of the final game rather than recreate a narrow demonstration. Scope is selected in Document 25F after the registry and validation foundations exist. This document locks the selection method, not the final roster.</w:t>
      </w:r>
    </w:p>
    <w:tbl>
      <w:tblPr>
        <w:tblStyle w:val="TableGrid"/>
        <w:tblW w:type="auto" w:w="0"/>
        <w:jc w:val="center"/>
        <w:tblLayout w:type="fixed"/>
        <w:tblLook w:firstColumn="1" w:firstRow="1" w:lastColumn="0" w:lastRow="0" w:noHBand="0" w:noVBand="1" w:val="04A0"/>
      </w:tblPr>
      <w:tblGrid>
        <w:gridCol w:w="4915"/>
        <w:gridCol w:w="4915"/>
      </w:tblGrid>
      <w:tr>
        <w:trPr>
          <w:tblHeader w:val="true"/>
          <w:cantSplit w:val="true"/>
        </w:trPr>
        <w:tc>
          <w:tcPr>
            <w:tcW w:type="dxa" w:w="2520"/>
            <w:shd w:fill="1F4E78"/>
            <w:tcMar>
              <w:top w:w="55" w:type="dxa"/>
              <w:start w:w="70" w:type="dxa"/>
              <w:bottom w:w="55" w:type="dxa"/>
              <w:end w:w="70" w:type="dxa"/>
            </w:tcMar>
            <w:vAlign w:val="center"/>
          </w:tcPr>
          <w:p>
            <w:pPr>
              <w:spacing w:after="0"/>
            </w:pPr>
            <w:r/>
            <w:r>
              <w:rPr>
                <w:rFonts w:ascii="Liberation Sans" w:hAnsi="Liberation Sans"/>
                <w:b/>
                <w:i w:val="0"/>
                <w:color w:val="FFFFFF"/>
                <w:sz w:val="16"/>
              </w:rPr>
              <w:t>Required Proof</w:t>
            </w:r>
          </w:p>
        </w:tc>
        <w:tc>
          <w:tcPr>
            <w:tcW w:type="dxa" w:w="7128"/>
            <w:shd w:fill="1F4E78"/>
            <w:tcMar>
              <w:top w:w="55" w:type="dxa"/>
              <w:start w:w="70" w:type="dxa"/>
              <w:bottom w:w="55" w:type="dxa"/>
              <w:end w:w="70" w:type="dxa"/>
            </w:tcMar>
            <w:vAlign w:val="center"/>
          </w:tcPr>
          <w:p>
            <w:pPr>
              <w:spacing w:after="0"/>
            </w:pPr>
            <w:r/>
            <w:r>
              <w:rPr>
                <w:rFonts w:ascii="Liberation Sans" w:hAnsi="Liberation Sans"/>
                <w:b/>
                <w:i w:val="0"/>
                <w:color w:val="FFFFFF"/>
                <w:sz w:val="16"/>
              </w:rPr>
              <w:t>Governance Requirement</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Seed World</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No fixed tutorial region; multiple connected biome/region families and meaningful transitions.</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Civilisation</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More than one culture/civilisation and several settlement forms, each with real production, needs, trade and world relationships.</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Ecology</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Wildlife, monsters, relationships, migration or bounded movement, nests and dynamic pressure.</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Adventure</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Dungeons, ruins, lairs, a regional or wandering boss and persistent aftermath.</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Four Pillars</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Survival, gathering, crafting, building, automation, practical magic, NPC civilisation, quests/events and world-state change.</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Realm</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At least one fully playable dimension; a second teaser only if its infrastructure is safe and does not dilute the first.</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Physical Game</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Real blocks, items, recipes, resources, drops, structures, rewards, UI, saves, migration, LOD and budgets.</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Assets</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Forge-ready manifests and minimal audio/VFX/socket/event bindings without requiring unfinished dedicated tools.</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Package Integrity</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Every selected entry has a world role, player purpose, dependencies, physical I/O, fallbacks, presentation and acceptance criteria.</w:t>
            </w:r>
          </w:p>
        </w:tc>
      </w:tr>
    </w:tbl>
    <w:p>
      <w:pPr>
        <w:spacing w:after="0"/>
      </w:pPr>
    </w:p>
    <w:p>
      <w:pPr>
        <w:pStyle w:val="Heading2"/>
        <w:keepNext/>
      </w:pPr>
      <w:r>
        <w:t>17.1 Scope Lock Rule</w:t>
      </w:r>
    </w:p>
    <w:p>
      <w:pPr>
        <w:widowControl/>
      </w:pPr>
      <w:r>
        <w:rPr>
          <w:rFonts w:ascii="Liberation Sans" w:hAnsi="Liberation Sans"/>
          <w:b w:val="0"/>
          <w:i w:val="0"/>
          <w:color w:val="202E3E"/>
          <w:sz w:val="18"/>
        </w:rPr>
        <w:t>After 25F is approved, new Core content may enter only through a change request that identifies displaced work, dependencies, asset impact, schedule effect and release-gate consequences. Interesting ideas that do not complete the selected slice move to Early Access, Later Expansion or Tooling Research.</w:t>
      </w:r>
    </w:p>
    <w:p>
      <w:pPr>
        <w:widowControl/>
      </w:pPr>
      <w:r>
        <w:rPr>
          <w:rFonts w:ascii="Liberation Sans" w:hAnsi="Liberation Sans"/>
          <w:b w:val="0"/>
          <w:i w:val="0"/>
          <w:color w:val="202E3E"/>
          <w:sz w:val="18"/>
        </w:rPr>
        <w:t>Document Set 26 approval does not preselect maritime content for the Core Production slice. 25F and 26A must state whether particular maritime capabilities are mandatory for Core, scheduled for Early Access or Full Release, or retained as a later expansion. Any maritime package selected for Core must be dependency-complete rather than a shallow teaser that compromises the land, civilisation, automation, magic, realm or save foundations.</w:t>
      </w:r>
    </w:p>
    <w:p>
      <w:pPr>
        <w:pStyle w:val="Heading1"/>
        <w:keepNext/>
      </w:pPr>
      <w:r>
        <w:t>18. Package Admission and Completeness Rules</w:t>
      </w:r>
    </w:p>
    <w:tbl>
      <w:tblPr>
        <w:tblStyle w:val="TableGrid"/>
        <w:tblW w:type="auto" w:w="0"/>
        <w:jc w:val="center"/>
        <w:tblLayout w:type="fixed"/>
        <w:tblLook w:firstColumn="1" w:firstRow="1" w:lastColumn="0" w:lastRow="0" w:noHBand="0" w:noVBand="1" w:val="04A0"/>
      </w:tblPr>
      <w:tblGrid>
        <w:gridCol w:w="4915"/>
        <w:gridCol w:w="4915"/>
      </w:tblGrid>
      <w:tr>
        <w:trPr>
          <w:tblHeader w:val="true"/>
          <w:cantSplit w:val="true"/>
        </w:trPr>
        <w:tc>
          <w:tcPr>
            <w:tcW w:type="dxa" w:w="2520"/>
            <w:shd w:fill="1F4E78"/>
            <w:tcMar>
              <w:top w:w="55" w:type="dxa"/>
              <w:start w:w="70" w:type="dxa"/>
              <w:bottom w:w="55" w:type="dxa"/>
              <w:end w:w="70" w:type="dxa"/>
            </w:tcMar>
            <w:vAlign w:val="center"/>
          </w:tcPr>
          <w:p>
            <w:pPr>
              <w:spacing w:after="0"/>
            </w:pPr>
            <w:r/>
            <w:r>
              <w:rPr>
                <w:rFonts w:ascii="Liberation Sans" w:hAnsi="Liberation Sans"/>
                <w:b/>
                <w:i w:val="0"/>
                <w:color w:val="FFFFFF"/>
                <w:sz w:val="16"/>
              </w:rPr>
              <w:t>Admission Field</w:t>
            </w:r>
          </w:p>
        </w:tc>
        <w:tc>
          <w:tcPr>
            <w:tcW w:type="dxa" w:w="7128"/>
            <w:shd w:fill="1F4E78"/>
            <w:tcMar>
              <w:top w:w="55" w:type="dxa"/>
              <w:start w:w="70" w:type="dxa"/>
              <w:bottom w:w="55" w:type="dxa"/>
              <w:end w:w="70" w:type="dxa"/>
            </w:tcMar>
            <w:vAlign w:val="center"/>
          </w:tcPr>
          <w:p>
            <w:pPr>
              <w:spacing w:after="0"/>
            </w:pPr>
            <w:r/>
            <w:r>
              <w:rPr>
                <w:rFonts w:ascii="Liberation Sans" w:hAnsi="Liberation Sans"/>
                <w:b/>
                <w:i w:val="0"/>
                <w:color w:val="FFFFFF"/>
                <w:sz w:val="16"/>
              </w:rPr>
              <w:t>Required Answer</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World Role</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What does the package provide, threaten, transform, teach, connect, remember or make possible?</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Player-Facing Purpose</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What meaningful actions, choices or progression does the player experience?</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Canonical Owner</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Which Atlas volume and gameplay registry own each field?</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Dependencies</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Which capabilities, environments, cultures, resources, structures, tools and systems are mandatory?</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Physical Inputs/Outputs</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Which real blocks, items, drops, recipes, energy, labour, goods or state changes flow through it?</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Fallbacks</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What capability-equivalent providers prevent a seed or save from dead-ending?</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Exclusions</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Which combinations are impossible, unsafe, incoherent or representation-sensitive?</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Presentation</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Which model, texture, animation, audio, VFX, icon, UI, map and Codex attachments are required?</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Simulation and LOD</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What persists at full, reduced and abstract detail?</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Save/Migration</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Which instance state, version, aliases and removal rules are required?</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Acceptance Criteria</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Which deterministic tests, gameplay flows, performance limits and human reviews prove completion?</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Production Status</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Which lifecycle status is justified by linked evidence?</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Expansion Programme</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Which approved expansion owns the package, and which existing authority does it extend?</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Dependency Mode</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Is the expansion dependency required, optional, recommended, development-only or mutually exclusive for this package/build?</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Absence Behaviour</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What remains functional and understandable when the expansion is not installed or enabled?</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Removal/Version Behaviour</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How do saves, instances, routes, cargo, vessels or references recover when a pack is removed or changed?</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Integration Owner</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Which Set 25/main-document record verifies that the extension has been admitted without duplicate ownership?</w:t>
            </w:r>
          </w:p>
        </w:tc>
      </w:tr>
    </w:tbl>
    <w:p>
      <w:pPr>
        <w:spacing w:after="0"/>
      </w:pPr>
    </w:p>
    <w:p>
      <w:pPr>
        <w:pStyle w:val="Heading1"/>
        <w:keepNext/>
      </w:pPr>
      <w:r>
        <w:t>19. Deferral and Tooling-Research Rules</w:t>
      </w:r>
    </w:p>
    <w:p>
      <w:pPr>
        <w:widowControl/>
      </w:pPr>
      <w:r>
        <w:rPr>
          <w:rFonts w:ascii="Liberation Sans" w:hAnsi="Liberation Sans"/>
          <w:b w:val="0"/>
          <w:i w:val="0"/>
          <w:color w:val="202E3E"/>
          <w:sz w:val="18"/>
        </w:rPr>
        <w:t>Deferral is a deliberate production decision, not failure. A concept should enter Tooling Research when its complete package depends on unproven technology or unaffordable unique assets. It should not be reduced into a misleading shallow version merely to claim inclusion.</w:t>
      </w:r>
    </w:p>
    <w:tbl>
      <w:tblPr>
        <w:tblStyle w:val="TableGrid"/>
        <w:tblW w:type="auto" w:w="0"/>
        <w:jc w:val="center"/>
        <w:tblLayout w:type="fixed"/>
        <w:tblLook w:firstColumn="1" w:firstRow="1" w:lastColumn="0" w:lastRow="0" w:noHBand="0" w:noVBand="1" w:val="04A0"/>
      </w:tblPr>
      <w:tblGrid>
        <w:gridCol w:w="3277"/>
        <w:gridCol w:w="3277"/>
        <w:gridCol w:w="3277"/>
      </w:tblGrid>
      <w:tr>
        <w:trPr>
          <w:tblHeader w:val="true"/>
          <w:cantSplit w:val="true"/>
        </w:trPr>
        <w:tc>
          <w:tcPr>
            <w:tcW w:type="dxa" w:w="2304"/>
            <w:shd w:fill="1F4E78"/>
            <w:tcMar>
              <w:top w:w="55" w:type="dxa"/>
              <w:start w:w="70" w:type="dxa"/>
              <w:bottom w:w="55" w:type="dxa"/>
              <w:end w:w="70" w:type="dxa"/>
            </w:tcMar>
            <w:vAlign w:val="center"/>
          </w:tcPr>
          <w:p>
            <w:pPr>
              <w:spacing w:after="0"/>
            </w:pPr>
            <w:r/>
            <w:r>
              <w:rPr>
                <w:rFonts w:ascii="Liberation Sans" w:hAnsi="Liberation Sans"/>
                <w:b/>
                <w:i w:val="0"/>
                <w:color w:val="FFFFFF"/>
                <w:sz w:val="16"/>
              </w:rPr>
              <w:t>Deferral Trigger</w:t>
            </w:r>
          </w:p>
        </w:tc>
        <w:tc>
          <w:tcPr>
            <w:tcW w:type="dxa" w:w="3528"/>
            <w:shd w:fill="1F4E78"/>
            <w:tcMar>
              <w:top w:w="55" w:type="dxa"/>
              <w:start w:w="70" w:type="dxa"/>
              <w:bottom w:w="55" w:type="dxa"/>
              <w:end w:w="70" w:type="dxa"/>
            </w:tcMar>
            <w:vAlign w:val="center"/>
          </w:tcPr>
          <w:p>
            <w:pPr>
              <w:spacing w:after="0"/>
            </w:pPr>
            <w:r/>
            <w:r>
              <w:rPr>
                <w:rFonts w:ascii="Liberation Sans" w:hAnsi="Liberation Sans"/>
                <w:b/>
                <w:i w:val="0"/>
                <w:color w:val="FFFFFF"/>
                <w:sz w:val="16"/>
              </w:rPr>
              <w:t>Examples</w:t>
            </w:r>
          </w:p>
        </w:tc>
        <w:tc>
          <w:tcPr>
            <w:tcW w:type="dxa" w:w="3816"/>
            <w:shd w:fill="1F4E78"/>
            <w:tcMar>
              <w:top w:w="55" w:type="dxa"/>
              <w:start w:w="70" w:type="dxa"/>
              <w:bottom w:w="55" w:type="dxa"/>
              <w:end w:w="70" w:type="dxa"/>
            </w:tcMar>
            <w:vAlign w:val="center"/>
          </w:tcPr>
          <w:p>
            <w:pPr>
              <w:spacing w:after="0"/>
            </w:pPr>
            <w:r/>
            <w:r>
              <w:rPr>
                <w:rFonts w:ascii="Liberation Sans" w:hAnsi="Liberation Sans"/>
                <w:b/>
                <w:i w:val="0"/>
                <w:color w:val="FFFFFF"/>
                <w:sz w:val="16"/>
              </w:rPr>
              <w:t>Required Record</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Unproven World Technology</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Full free-surface water simulation, large moving voxel interiors, unusual realm physics or other unproven subsystems.</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Prototype question, success metric, owner and revisit gate.</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Unproven Creature Technology</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Complex flight, burrowing, swarm locomotion, procedural body variation.</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Representative body-plan spike and performance budget.</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Unproven Simulation Scale</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Region-wide migrations, dynamic trade webs, capital-scale populations.</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LOD model, stress test and redesign threshold.</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Asset Cost</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Package requires too many unique models, rigs, animations, audio or VFX.</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Reuse analysis and smaller complete-package alternative.</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System Dependency</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Content relies on law, government, portal logistics or advanced magic not in Core.</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Dependency tier and safe placeholder/absence treatment.</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Representation Risk</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Generated identity combinations require additional rules or review.</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Protected constraints, counterexample seeds and human approval.</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Save/Compatibility Risk</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Content cannot yet migrate or unload safely.</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Migration design and old-world insertion policy.</w:t>
            </w:r>
          </w:p>
        </w:tc>
      </w:tr>
    </w:tbl>
    <w:p>
      <w:pPr>
        <w:spacing w:after="0"/>
      </w:pPr>
    </w:p>
    <w:p>
      <w:pPr>
        <w:widowControl/>
      </w:pPr>
      <w:r>
        <w:rPr>
          <w:rFonts w:ascii="Liberation Sans" w:hAnsi="Liberation Sans"/>
          <w:b w:val="0"/>
          <w:i w:val="0"/>
          <w:color w:val="202E3E"/>
          <w:sz w:val="18"/>
        </w:rPr>
        <w:t>Approval of Set 26 prevents the entire maritime programme from being dismissed as an unspecified future idea. Individual Set 26 features may still enter Tooling Research when their complete implementation depends on unproven physics, networking, rendering, authoring or simulation scale. The deferral record must identify the exact subsystem rather than deferring all oceans or vessels by default.</w:t>
      </w:r>
    </w:p>
    <w:p>
      <w:pPr>
        <w:pStyle w:val="Heading1"/>
        <w:keepNext/>
      </w:pPr>
      <w:r>
        <w:t>20. Registry-First Production Rule</w:t>
      </w:r>
    </w:p>
    <w:p>
      <w:pPr>
        <w:widowControl/>
      </w:pPr>
      <w:r>
        <w:rPr>
          <w:rFonts w:ascii="Liberation Sans" w:hAnsi="Liberation Sans"/>
          <w:b w:val="0"/>
          <w:i w:val="0"/>
          <w:color w:val="202E3E"/>
          <w:sz w:val="18"/>
        </w:rPr>
        <w:t>Blocks, Items, Recipes, assets and implementation tasks are downstream of the registry kernel and Core classification. Beginning them too early would produce speculative rows, duplicated identities, missing fallbacks and asset work for content later deferred.</w:t>
      </w:r>
    </w:p>
    <w:tbl>
      <w:tblPr>
        <w:tblStyle w:val="TableGrid"/>
        <w:tblW w:type="auto" w:w="0"/>
        <w:jc w:val="center"/>
        <w:tblLayout w:type="fixed"/>
        <w:tblLook w:firstColumn="1" w:firstRow="1" w:lastColumn="0" w:lastRow="0" w:noHBand="0" w:noVBand="1" w:val="04A0"/>
      </w:tblPr>
      <w:tblGrid>
        <w:gridCol w:w="4915"/>
        <w:gridCol w:w="4915"/>
      </w:tblGrid>
      <w:tr>
        <w:trPr>
          <w:tblHeader w:val="true"/>
          <w:cantSplit w:val="true"/>
        </w:trPr>
        <w:tc>
          <w:tcPr>
            <w:tcW w:type="dxa" w:w="2520"/>
            <w:shd w:fill="1F4E78"/>
            <w:tcMar>
              <w:top w:w="55" w:type="dxa"/>
              <w:start w:w="70" w:type="dxa"/>
              <w:bottom w:w="55" w:type="dxa"/>
              <w:end w:w="70" w:type="dxa"/>
            </w:tcMar>
            <w:vAlign w:val="center"/>
          </w:tcPr>
          <w:p>
            <w:pPr>
              <w:spacing w:after="0"/>
            </w:pPr>
            <w:r/>
            <w:r>
              <w:rPr>
                <w:rFonts w:ascii="Liberation Sans" w:hAnsi="Liberation Sans"/>
                <w:b/>
                <w:i w:val="0"/>
                <w:color w:val="FFFFFF"/>
                <w:sz w:val="16"/>
              </w:rPr>
              <w:t>Before Expanding...</w:t>
            </w:r>
          </w:p>
        </w:tc>
        <w:tc>
          <w:tcPr>
            <w:tcW w:type="dxa" w:w="7128"/>
            <w:shd w:fill="1F4E78"/>
            <w:tcMar>
              <w:top w:w="55" w:type="dxa"/>
              <w:start w:w="70" w:type="dxa"/>
              <w:bottom w:w="55" w:type="dxa"/>
              <w:end w:w="70" w:type="dxa"/>
            </w:tcMar>
            <w:vAlign w:val="center"/>
          </w:tcPr>
          <w:p>
            <w:pPr>
              <w:spacing w:after="0"/>
            </w:pPr>
            <w:r/>
            <w:r>
              <w:rPr>
                <w:rFonts w:ascii="Liberation Sans" w:hAnsi="Liberation Sans"/>
                <w:b/>
                <w:i w:val="0"/>
                <w:color w:val="FFFFFF"/>
                <w:sz w:val="16"/>
              </w:rPr>
              <w:t>Must Be Decided</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Blocks</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Core environments, cultures, structures, realm laws, resources, states, shapes, material families, budgets and IDs.</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Items</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Block-item links, resources, drops, goods, quality/scarcity/provenance semantics, gear capabilities, stack/instance-state rules and IDs.</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Resource Progression</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Capability bands, local/trade/salvage/magic/realm alternatives, scarcity policy, tool gates and seed fallbacks.</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Recipes</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Stable input/output/station IDs, substitutions, power/fuel/mana requirements, by-products, repair/recycling and reachability tests.</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Assets</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Selected package manifests, reuse kits, body plans, state variants, rigs, sockets/events, LOD and performance classes.</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Implementation</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Schemas, generated runtime format, rewritten Document 18, task contract, validation commands, saves, authority and acceptance criteria.</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Registry-Heavy Set 26 Work</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Approved 25B identity baseline, applicable 25C schemas/relationships, 25D pack/migration rules, 25E validators and the relevant Set 26 owning contract.</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Maritime Physical Registries</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Set 26N dependency matrix plus approved 26B-26M definitions; no speculative ship blocks, cargo items or naval recipes are added only because the expansion exists.</w:t>
            </w:r>
          </w:p>
        </w:tc>
      </w:tr>
    </w:tbl>
    <w:p>
      <w:pPr>
        <w:spacing w:after="0"/>
      </w:pPr>
    </w:p>
    <w:tbl>
      <w:tblPr>
        <w:tblW w:type="auto" w:w="0"/>
        <w:jc w:val="center"/>
        <w:tblLayout w:type="fixed"/>
        <w:tblLook w:firstColumn="1" w:firstRow="1" w:lastColumn="0" w:lastRow="0" w:noHBand="0" w:noVBand="1" w:val="04A0"/>
      </w:tblPr>
      <w:tblGrid>
        <w:gridCol w:w="9831"/>
      </w:tblGrid>
      <w:tr>
        <w:tc>
          <w:tcPr>
            <w:tcW w:type="dxa" w:w="9648"/>
            <w:tcMar>
              <w:top w:w="75" w:type="dxa"/>
              <w:start w:w="90" w:type="dxa"/>
              <w:bottom w:w="75" w:type="dxa"/>
              <w:end w:w="90" w:type="dxa"/>
            </w:tcMar>
            <w:shd w:fill="1F4E78"/>
          </w:tcPr>
          <w:p>
            <w:r/>
            <w:r>
              <w:rPr>
                <w:rFonts w:ascii="Liberation Sans" w:hAnsi="Liberation Sans"/>
                <w:b/>
                <w:i w:val="0"/>
                <w:color w:val="FFFFFF"/>
                <w:sz w:val="18"/>
              </w:rPr>
              <w:t>Registry-First Rule</w:t>
            </w:r>
          </w:p>
        </w:tc>
      </w:tr>
      <w:tr>
        <w:tc>
          <w:tcPr>
            <w:tcW w:type="dxa" w:w="9648"/>
            <w:tcMar>
              <w:top w:w="75" w:type="dxa"/>
              <w:start w:w="90" w:type="dxa"/>
              <w:bottom w:w="75" w:type="dxa"/>
              <w:end w:w="90" w:type="dxa"/>
            </w:tcMar>
            <w:shd w:fill="DCE6F1"/>
          </w:tcPr>
          <w:p>
            <w:r/>
            <w:r>
              <w:rPr>
                <w:rFonts w:ascii="Liberation Sans" w:hAnsi="Liberation Sans"/>
                <w:b w:val="0"/>
                <w:i w:val="0"/>
                <w:color w:val="202E3E"/>
                <w:sz w:val="17"/>
              </w:rPr>
              <w:t>Do not attempt to enumerate or implement the full Atlas inventory. Classify Core Production first, then generate the exact physical and asset backlog required by the selected packages.</w:t>
            </w:r>
          </w:p>
        </w:tc>
      </w:tr>
    </w:tbl>
    <w:p>
      <w:pPr>
        <w:spacing w:after="0"/>
      </w:pPr>
    </w:p>
    <w:p>
      <w:pPr>
        <w:pStyle w:val="Heading1"/>
        <w:keepNext/>
      </w:pPr>
      <w:r>
        <w:t>21. Main Document Revision Governance</w:t>
      </w:r>
    </w:p>
    <w:p>
      <w:pPr>
        <w:widowControl/>
      </w:pPr>
      <w:r>
        <w:rPr>
          <w:rFonts w:ascii="Liberation Sans" w:hAnsi="Liberation Sans"/>
          <w:b w:val="0"/>
          <w:i w:val="0"/>
          <w:color w:val="202E3E"/>
          <w:sz w:val="18"/>
        </w:rPr>
        <w:t>Set 25 does not replace all earlier documents. It governs how they are amended or replaced while preserving each system’s canonical ownership. Set 26 creates additional amendment obligations, but those changes remain pending until their maritime owner has specified the authoritative contract.</w:t>
      </w:r>
    </w:p>
    <w:tbl>
      <w:tblPr>
        <w:tblStyle w:val="TableGrid"/>
        <w:tblW w:type="auto" w:w="0"/>
        <w:jc w:val="center"/>
        <w:tblLayout w:type="fixed"/>
        <w:tblLook w:firstColumn="1" w:firstRow="1" w:lastColumn="0" w:lastRow="0" w:noHBand="0" w:noVBand="1" w:val="04A0"/>
      </w:tblPr>
      <w:tblGrid>
        <w:gridCol w:w="3277"/>
        <w:gridCol w:w="3277"/>
        <w:gridCol w:w="3277"/>
      </w:tblGrid>
      <w:tr>
        <w:trPr>
          <w:tblHeader w:val="true"/>
          <w:cantSplit w:val="true"/>
        </w:trPr>
        <w:tc>
          <w:tcPr>
            <w:tcW w:type="dxa" w:w="2304"/>
            <w:shd w:fill="1F4E78"/>
            <w:tcMar>
              <w:top w:w="55" w:type="dxa"/>
              <w:start w:w="70" w:type="dxa"/>
              <w:bottom w:w="55" w:type="dxa"/>
              <w:end w:w="70" w:type="dxa"/>
            </w:tcMar>
            <w:vAlign w:val="center"/>
          </w:tcPr>
          <w:p>
            <w:pPr>
              <w:spacing w:after="0"/>
            </w:pPr>
            <w:r/>
            <w:r>
              <w:rPr>
                <w:rFonts w:ascii="Liberation Sans" w:hAnsi="Liberation Sans"/>
                <w:b/>
                <w:i w:val="0"/>
                <w:color w:val="FFFFFF"/>
                <w:sz w:val="16"/>
              </w:rPr>
              <w:t>Treatment</w:t>
            </w:r>
          </w:p>
        </w:tc>
        <w:tc>
          <w:tcPr>
            <w:tcW w:type="dxa" w:w="3528"/>
            <w:shd w:fill="1F4E78"/>
            <w:tcMar>
              <w:top w:w="55" w:type="dxa"/>
              <w:start w:w="70" w:type="dxa"/>
              <w:bottom w:w="55" w:type="dxa"/>
              <w:end w:w="70" w:type="dxa"/>
            </w:tcMar>
            <w:vAlign w:val="center"/>
          </w:tcPr>
          <w:p>
            <w:pPr>
              <w:spacing w:after="0"/>
            </w:pPr>
            <w:r/>
            <w:r>
              <w:rPr>
                <w:rFonts w:ascii="Liberation Sans" w:hAnsi="Liberation Sans"/>
                <w:b/>
                <w:i w:val="0"/>
                <w:color w:val="FFFFFF"/>
                <w:sz w:val="16"/>
              </w:rPr>
              <w:t>Documents</w:t>
            </w:r>
          </w:p>
        </w:tc>
        <w:tc>
          <w:tcPr>
            <w:tcW w:type="dxa" w:w="3816"/>
            <w:shd w:fill="1F4E78"/>
            <w:tcMar>
              <w:top w:w="55" w:type="dxa"/>
              <w:start w:w="70" w:type="dxa"/>
              <w:bottom w:w="55" w:type="dxa"/>
              <w:end w:w="70" w:type="dxa"/>
            </w:tcMar>
            <w:vAlign w:val="center"/>
          </w:tcPr>
          <w:p>
            <w:pPr>
              <w:spacing w:after="0"/>
            </w:pPr>
            <w:r/>
            <w:r>
              <w:rPr>
                <w:rFonts w:ascii="Liberation Sans" w:hAnsi="Liberation Sans"/>
                <w:b/>
                <w:i w:val="0"/>
                <w:color w:val="FFFFFF"/>
                <w:sz w:val="16"/>
              </w:rPr>
              <w:t>Governance Requirement</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Revision Pack</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00-02</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Record exact POC sections superseded and add production/Atlas rules without duplicating registry detail.</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Complete Replacement</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03-06</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New active source versions generated from 25F-25J; archive v0.1.</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Revision Pack</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07-10</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Remove fixed roster/chains and bind systems to generated packages.</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Complete Replacement</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11</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Rebuild seed world generation around 24A-24D and Set 25 contracts.</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Revision Pack</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12-17</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Replace fixed sites, realm, event and presentation assumptions with Atlas bindings.</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Complete Replacement</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18</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Rewrite for Godot/Summer Engine and production scope.</w:t>
            </w:r>
          </w:p>
        </w:tc>
      </w:tr>
    </w:tbl>
    <w:p>
      <w:pPr>
        <w:spacing w:after="0"/>
      </w:pPr>
    </w:p>
    <w:p>
      <w:pPr>
        <w:pStyle w:val="Heading2"/>
        <w:keepNext/>
      </w:pPr>
      <w:r>
        <w:t>21.1 Active Source Rule</w:t>
      </w:r>
    </w:p>
    <w:p>
      <w:pPr>
        <w:widowControl/>
      </w:pPr>
      <w:r>
        <w:rPr>
          <w:rFonts w:ascii="Liberation Sans" w:hAnsi="Liberation Sans"/>
          <w:b w:val="0"/>
          <w:i w:val="0"/>
          <w:color w:val="202E3E"/>
          <w:sz w:val="18"/>
        </w:rPr>
        <w:t>At any moment, the project index must identify one active source version per document number. Revision packs carry temporary supersession authority but must be consolidated before Release Candidate. Archived v0.1 files remain accessible and clearly labelled.</w:t>
      </w:r>
    </w:p>
    <w:p>
      <w:pPr>
        <w:pStyle w:val="Heading2"/>
        <w:keepNext/>
      </w:pPr>
      <w:r>
        <w:t>21.2 Set 26 Downstream Amendment Tracking</w:t>
      </w:r>
    </w:p>
    <w:tbl>
      <w:tblPr>
        <w:tblStyle w:val="TableGrid"/>
        <w:tblW w:type="auto" w:w="0"/>
        <w:jc w:val="center"/>
        <w:tblLayout w:type="fixed"/>
        <w:tblLook w:firstColumn="1" w:firstRow="1" w:lastColumn="0" w:lastRow="0" w:noHBand="0" w:noVBand="1" w:val="04A0"/>
      </w:tblPr>
      <w:tblGrid>
        <w:gridCol w:w="3277"/>
        <w:gridCol w:w="3277"/>
        <w:gridCol w:w="3277"/>
      </w:tblGrid>
      <w:tr>
        <w:trPr>
          <w:tblHeader w:val="true"/>
          <w:cantSplit w:val="true"/>
        </w:trPr>
        <w:tc>
          <w:tcPr>
            <w:tcW w:type="dxa" w:w="2304"/>
            <w:shd w:fill="1F4E78"/>
            <w:tcMar>
              <w:top w:w="55" w:type="dxa"/>
              <w:start w:w="70" w:type="dxa"/>
              <w:bottom w:w="55" w:type="dxa"/>
              <w:end w:w="70" w:type="dxa"/>
            </w:tcMar>
            <w:vAlign w:val="center"/>
          </w:tcPr>
          <w:p>
            <w:pPr>
              <w:spacing w:after="0"/>
            </w:pPr>
            <w:r/>
            <w:r>
              <w:rPr>
                <w:rFonts w:ascii="Liberation Sans" w:hAnsi="Liberation Sans"/>
                <w:b/>
                <w:i w:val="0"/>
                <w:color w:val="FFFFFF"/>
                <w:sz w:val="16"/>
              </w:rPr>
              <w:t>Affected Source Group</w:t>
            </w:r>
          </w:p>
        </w:tc>
        <w:tc>
          <w:tcPr>
            <w:tcW w:type="dxa" w:w="3528"/>
            <w:shd w:fill="1F4E78"/>
            <w:tcMar>
              <w:top w:w="55" w:type="dxa"/>
              <w:start w:w="70" w:type="dxa"/>
              <w:bottom w:w="55" w:type="dxa"/>
              <w:end w:w="70" w:type="dxa"/>
            </w:tcMar>
            <w:vAlign w:val="center"/>
          </w:tcPr>
          <w:p>
            <w:pPr>
              <w:spacing w:after="0"/>
            </w:pPr>
            <w:r/>
            <w:r>
              <w:rPr>
                <w:rFonts w:ascii="Liberation Sans" w:hAnsi="Liberation Sans"/>
                <w:b/>
                <w:i w:val="0"/>
                <w:color w:val="FFFFFF"/>
                <w:sz w:val="16"/>
              </w:rPr>
              <w:t>Expected Set 26 Input</w:t>
            </w:r>
          </w:p>
        </w:tc>
        <w:tc>
          <w:tcPr>
            <w:tcW w:type="dxa" w:w="3816"/>
            <w:shd w:fill="1F4E78"/>
            <w:tcMar>
              <w:top w:w="55" w:type="dxa"/>
              <w:start w:w="70" w:type="dxa"/>
              <w:bottom w:w="55" w:type="dxa"/>
              <w:end w:w="70" w:type="dxa"/>
            </w:tcMar>
            <w:vAlign w:val="center"/>
          </w:tcPr>
          <w:p>
            <w:pPr>
              <w:spacing w:after="0"/>
            </w:pPr>
            <w:r/>
            <w:r>
              <w:rPr>
                <w:rFonts w:ascii="Liberation Sans" w:hAnsi="Liberation Sans"/>
                <w:b/>
                <w:i w:val="0"/>
                <w:color w:val="FFFFFF"/>
                <w:sz w:val="16"/>
              </w:rPr>
              <w:t>Set 25 Treatment Before Input Is Locked</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00-02</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Maritime fantasy, loops, progression and survival/traversal implications from 26A, 26E and 26N.</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Record dependency only; continue non-maritime post-POC revision.</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03-06</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Maritime blocks, items, resources, drops, components and recipes from 26B-26N.</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Reserve extension contracts; do not populate speculative maritime rows.</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07-10</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Ports, crews, maritime jobs, fleets, automation, magic, ecology and threats from 26J-26N.</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Keep runtime interfaces extensible; defer maritime-specific definitions.</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11-14</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Marine worldgen, ports/structures, cultures/factions and realm interactions from 26C-26M.</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Build general seed and structure contracts; track required future facets.</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15-17</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Maritime quests/events, combat and UI from 26K-26O.</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Preserve generic objective, damage, ownership and view-model interfaces.</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18</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Fluids, moving vessel interiors, authority, streaming, saves, LOD and performance from 26B, 26F-26I and 26O.</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Rewrite the general Godot/Summer Engine architecture with extension points; final maritime bindings wait for Set 26.</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Forge/Settlement/Atlas Integration Records</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Vessel Forge, shipyards, ports, asset manifests and Atlas cross-links.</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Track owners and required revisions; no duplicate maritime authoring system inside 25K.</w:t>
            </w:r>
          </w:p>
        </w:tc>
      </w:tr>
    </w:tbl>
    <w:p>
      <w:pPr>
        <w:spacing w:after="0"/>
      </w:pPr>
    </w:p>
    <w:p>
      <w:pPr>
        <w:widowControl/>
      </w:pPr>
      <w:r>
        <w:rPr>
          <w:rFonts w:ascii="Liberation Sans" w:hAnsi="Liberation Sans"/>
          <w:b w:val="0"/>
          <w:i w:val="0"/>
          <w:color w:val="202E3E"/>
          <w:sz w:val="18"/>
        </w:rPr>
        <w:t>Every downstream amendment record identifies the Set 26 source, affected active document/version, owner, dependency type, migration impact, validation gate and consolidation status.</w:t>
      </w:r>
    </w:p>
    <w:p>
      <w:pPr>
        <w:pStyle w:val="Heading1"/>
        <w:keepNext/>
      </w:pPr>
      <w:r>
        <w:t>22. Godot and Summer Engine Governance</w:t>
      </w:r>
    </w:p>
    <w:p>
      <w:pPr>
        <w:widowControl/>
      </w:pPr>
      <w:r>
        <w:rPr>
          <w:rFonts w:ascii="Liberation Sans" w:hAnsi="Liberation Sans"/>
          <w:b w:val="0"/>
          <w:i w:val="0"/>
          <w:color w:val="202E3E"/>
          <w:sz w:val="18"/>
        </w:rPr>
        <w:t>The engine direction is locked: Godot using Summer Engine. The new Technical Plan must be written from approved schemas, Core scope and measured targets rather than translating Unreal terms mechanically.</w:t>
      </w:r>
    </w:p>
    <w:tbl>
      <w:tblPr>
        <w:tblStyle w:val="TableGrid"/>
        <w:tblW w:type="auto" w:w="0"/>
        <w:jc w:val="center"/>
        <w:tblLayout w:type="fixed"/>
        <w:tblLook w:firstColumn="1" w:firstRow="1" w:lastColumn="0" w:lastRow="0" w:noHBand="0" w:noVBand="1" w:val="04A0"/>
      </w:tblPr>
      <w:tblGrid>
        <w:gridCol w:w="4915"/>
        <w:gridCol w:w="4915"/>
      </w:tblGrid>
      <w:tr>
        <w:trPr>
          <w:tblHeader w:val="true"/>
          <w:cantSplit w:val="true"/>
        </w:trPr>
        <w:tc>
          <w:tcPr>
            <w:tcW w:type="dxa" w:w="2520"/>
            <w:shd w:fill="1F4E78"/>
            <w:tcMar>
              <w:top w:w="55" w:type="dxa"/>
              <w:start w:w="70" w:type="dxa"/>
              <w:bottom w:w="55" w:type="dxa"/>
              <w:end w:w="70" w:type="dxa"/>
            </w:tcMar>
            <w:vAlign w:val="center"/>
          </w:tcPr>
          <w:p>
            <w:pPr>
              <w:spacing w:after="0"/>
            </w:pPr>
            <w:r/>
            <w:r>
              <w:rPr>
                <w:rFonts w:ascii="Liberation Sans" w:hAnsi="Liberation Sans"/>
                <w:b/>
                <w:i w:val="0"/>
                <w:color w:val="FFFFFF"/>
                <w:sz w:val="16"/>
              </w:rPr>
              <w:t>Implementation Layer</w:t>
            </w:r>
          </w:p>
        </w:tc>
        <w:tc>
          <w:tcPr>
            <w:tcW w:type="dxa" w:w="7128"/>
            <w:shd w:fill="1F4E78"/>
            <w:tcMar>
              <w:top w:w="55" w:type="dxa"/>
              <w:start w:w="70" w:type="dxa"/>
              <w:bottom w:w="55" w:type="dxa"/>
              <w:end w:w="70" w:type="dxa"/>
            </w:tcMar>
            <w:vAlign w:val="center"/>
          </w:tcPr>
          <w:p>
            <w:pPr>
              <w:spacing w:after="0"/>
            </w:pPr>
            <w:r/>
            <w:r>
              <w:rPr>
                <w:rFonts w:ascii="Liberation Sans" w:hAnsi="Liberation Sans"/>
                <w:b/>
                <w:i w:val="0"/>
                <w:color w:val="FFFFFF"/>
                <w:sz w:val="16"/>
              </w:rPr>
              <w:t>Governance Direction</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Definition Data</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Typed Godot Resources or validated external data generated from canonical schemas; immutable at runtime.</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Registry Service</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Resolves IDs, aliases, parent/composition, tags, capabilities, localisation, pack ownership and status.</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Relationship Graph</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Indexed typed edges and query APIs with reverse lookup, suitability, exclusions and diagnostics.</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World Manifest</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Stores seed, profile, generation version, pack list/hashes, selected definitions, realm graph, history summary and migration chain.</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Generation Pipeline</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Deterministic staged jobs for topology, climate, regions, biomes, history, societies, ecology, routes, sites, threats, resources and repair.</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Runtime Records</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Compact persistent records; Godot nodes present state rather than becoming source of truth.</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Simulation LOD</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Explicit managers and promotion/demotion contracts for regions, settlements, ecology, routes, automation, sites, bosses, events and realms.</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Editor Tooling</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Registry browser, graph inspector, pack manager, seed viewer, validator, migration preview and POC-reference scanner.</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Testing</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Schema/reference checks, deterministic snapshots, migration tests, integration tests, performance baselines and packaged-build smoke tests.</w:t>
            </w:r>
          </w:p>
        </w:tc>
      </w:tr>
    </w:tbl>
    <w:p>
      <w:pPr>
        <w:spacing w:after="0"/>
      </w:pPr>
    </w:p>
    <w:tbl>
      <w:tblPr>
        <w:tblW w:type="auto" w:w="0"/>
        <w:jc w:val="center"/>
        <w:tblLayout w:type="fixed"/>
        <w:tblLook w:firstColumn="1" w:firstRow="1" w:lastColumn="0" w:lastRow="0" w:noHBand="0" w:noVBand="1" w:val="04A0"/>
      </w:tblPr>
      <w:tblGrid>
        <w:gridCol w:w="9831"/>
      </w:tblGrid>
      <w:tr>
        <w:tc>
          <w:tcPr>
            <w:tcW w:type="dxa" w:w="9648"/>
            <w:tcMar>
              <w:top w:w="75" w:type="dxa"/>
              <w:start w:w="90" w:type="dxa"/>
              <w:bottom w:w="75" w:type="dxa"/>
              <w:end w:w="90" w:type="dxa"/>
            </w:tcMar>
            <w:shd w:fill="1F4E78"/>
          </w:tcPr>
          <w:p>
            <w:r/>
            <w:r>
              <w:rPr>
                <w:rFonts w:ascii="Liberation Sans" w:hAnsi="Liberation Sans"/>
                <w:b/>
                <w:i w:val="0"/>
                <w:color w:val="FFFFFF"/>
                <w:sz w:val="18"/>
              </w:rPr>
              <w:t>Engine-Rewrite Rule</w:t>
            </w:r>
          </w:p>
        </w:tc>
      </w:tr>
      <w:tr>
        <w:tc>
          <w:tcPr>
            <w:tcW w:type="dxa" w:w="9648"/>
            <w:tcMar>
              <w:top w:w="75" w:type="dxa"/>
              <w:start w:w="90" w:type="dxa"/>
              <w:bottom w:w="75" w:type="dxa"/>
              <w:end w:w="90" w:type="dxa"/>
            </w:tcMar>
            <w:shd w:fill="DCE6F1"/>
          </w:tcPr>
          <w:p>
            <w:r/>
            <w:r>
              <w:rPr>
                <w:rFonts w:ascii="Liberation Sans" w:hAnsi="Liberation Sans"/>
                <w:b w:val="0"/>
                <w:i w:val="0"/>
                <w:color w:val="202E3E"/>
                <w:sz w:val="17"/>
              </w:rPr>
              <w:t>No Unreal-specific module, actor, plugin, World Partition, C++/Blueprint, UMG/CommonUI, Enhanced Input or replication assumption may be carried forward without an explicit Godot equivalent and justification. Engine-agnostic principles may be retained by name and contract.</w:t>
            </w:r>
          </w:p>
        </w:tc>
      </w:tr>
    </w:tbl>
    <w:p>
      <w:pPr>
        <w:spacing w:after="0"/>
      </w:pPr>
    </w:p>
    <w:p>
      <w:pPr>
        <w:widowControl/>
      </w:pPr>
      <w:r>
        <w:rPr>
          <w:rFonts w:ascii="Liberation Sans" w:hAnsi="Liberation Sans"/>
          <w:b w:val="0"/>
          <w:i w:val="0"/>
          <w:color w:val="202E3E"/>
          <w:sz w:val="18"/>
        </w:rPr>
        <w:t>The rewritten Document 18 must leave validated extension points for Set 26 local-space/world-space references, moving interiors, fluid and weather state, vessel authority, cross-chunk movement, streaming, LOD and persistence. The exact technical solution remains owned by 26B, 26F-26I and 26O and may not be preselected in 25A.</w:t>
      </w:r>
    </w:p>
    <w:p>
      <w:pPr>
        <w:pStyle w:val="Heading1"/>
        <w:keepNext/>
      </w:pPr>
      <w:r>
        <w:t>23. Summer Engine Task Governance</w:t>
      </w:r>
    </w:p>
    <w:p>
      <w:pPr>
        <w:widowControl/>
      </w:pPr>
      <w:r>
        <w:rPr>
          <w:rFonts w:ascii="Liberation Sans" w:hAnsi="Liberation Sans"/>
          <w:b w:val="0"/>
          <w:i w:val="0"/>
          <w:color w:val="202E3E"/>
          <w:sz w:val="18"/>
        </w:rPr>
        <w:t>Implementation begins only after 25L converts approved scope into bounded tasks. The task contract is governed now so the documentation is written in a form that implementation can consume safely.</w:t>
      </w:r>
    </w:p>
    <w:tbl>
      <w:tblPr>
        <w:tblStyle w:val="TableGrid"/>
        <w:tblW w:type="auto" w:w="0"/>
        <w:jc w:val="center"/>
        <w:tblLayout w:type="fixed"/>
        <w:tblLook w:firstColumn="1" w:firstRow="1" w:lastColumn="0" w:lastRow="0" w:noHBand="0" w:noVBand="1" w:val="04A0"/>
      </w:tblPr>
      <w:tblGrid>
        <w:gridCol w:w="4915"/>
        <w:gridCol w:w="4915"/>
      </w:tblGrid>
      <w:tr>
        <w:trPr>
          <w:tblHeader w:val="true"/>
          <w:cantSplit w:val="true"/>
        </w:trPr>
        <w:tc>
          <w:tcPr>
            <w:tcW w:type="dxa" w:w="2520"/>
            <w:shd w:fill="1F4E78"/>
            <w:tcMar>
              <w:top w:w="55" w:type="dxa"/>
              <w:start w:w="70" w:type="dxa"/>
              <w:bottom w:w="55" w:type="dxa"/>
              <w:end w:w="70" w:type="dxa"/>
            </w:tcMar>
            <w:vAlign w:val="center"/>
          </w:tcPr>
          <w:p>
            <w:pPr>
              <w:spacing w:after="0"/>
            </w:pPr>
            <w:r/>
            <w:r>
              <w:rPr>
                <w:rFonts w:ascii="Liberation Sans" w:hAnsi="Liberation Sans"/>
                <w:b/>
                <w:i w:val="0"/>
                <w:color w:val="FFFFFF"/>
                <w:sz w:val="16"/>
              </w:rPr>
              <w:t>Task Field</w:t>
            </w:r>
          </w:p>
        </w:tc>
        <w:tc>
          <w:tcPr>
            <w:tcW w:type="dxa" w:w="7128"/>
            <w:shd w:fill="1F4E78"/>
            <w:tcMar>
              <w:top w:w="55" w:type="dxa"/>
              <w:start w:w="70" w:type="dxa"/>
              <w:bottom w:w="55" w:type="dxa"/>
              <w:end w:w="70" w:type="dxa"/>
            </w:tcMar>
            <w:vAlign w:val="center"/>
          </w:tcPr>
          <w:p>
            <w:pPr>
              <w:spacing w:after="0"/>
            </w:pPr>
            <w:r/>
            <w:r>
              <w:rPr>
                <w:rFonts w:ascii="Liberation Sans" w:hAnsi="Liberation Sans"/>
                <w:b/>
                <w:i w:val="0"/>
                <w:color w:val="FFFFFF"/>
                <w:sz w:val="16"/>
              </w:rPr>
              <w:t>Required Content</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Task ID and Objective</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One bounded, testable outcome; no hidden multi-system project.</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Source Documents</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Exact active sections, schemas and decision records.</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Preconditions</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Required definitions, tools, assets, tests and prior tasks.</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Changed Files</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Expected project files/folders or generated outputs; deviations must be reported.</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Non-Goals</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Systems, content and refactors explicitly outside the task.</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Implementation Steps</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Small ordered actions suitable for review and rollback.</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Acceptance Tests</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Functional, deterministic, negative, migration and performance checks appropriate to the task.</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Expansion Profiles</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Required tests with the approved expansion enabled, absent, version-mismatched or removed when the task touches cross-pack data or saves.</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Validation Commands</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Exact commands or editor actions that produce evidence.</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Rollback Notes</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Files, migrations, data versions and generated artefacts to restore.</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Completion Evidence</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Diff summary, test output, screenshots/logs where relevant and unresolved risks.</w:t>
            </w:r>
          </w:p>
        </w:tc>
      </w:tr>
    </w:tbl>
    <w:p>
      <w:pPr>
        <w:spacing w:after="0"/>
      </w:pPr>
    </w:p>
    <w:p>
      <w:pPr>
        <w:widowControl/>
      </w:pPr>
      <w:r>
        <w:rPr>
          <w:rFonts w:ascii="Liberation Sans" w:hAnsi="Liberation Sans"/>
          <w:b w:val="0"/>
          <w:i w:val="0"/>
          <w:color w:val="202E3E"/>
          <w:sz w:val="18"/>
        </w:rPr>
        <w:t>Summer Engine may assist coding and file changes, but it may not infer unapproved content, expand scope, rename stable IDs, alter schemas or replace source ownership without an approved task revision.</w:t>
      </w:r>
    </w:p>
    <w:p>
      <w:pPr>
        <w:pStyle w:val="Heading1"/>
        <w:keepNext/>
      </w:pPr>
      <w:r>
        <w:t>24. Forge, Audio, VFX and Asset Governance</w:t>
      </w:r>
    </w:p>
    <w:tbl>
      <w:tblPr>
        <w:tblStyle w:val="TableGrid"/>
        <w:tblW w:type="auto" w:w="0"/>
        <w:jc w:val="center"/>
        <w:tblLayout w:type="fixed"/>
        <w:tblLook w:firstColumn="1" w:firstRow="1" w:lastColumn="0" w:lastRow="0" w:noHBand="0" w:noVBand="1" w:val="04A0"/>
      </w:tblPr>
      <w:tblGrid>
        <w:gridCol w:w="4915"/>
        <w:gridCol w:w="4915"/>
      </w:tblGrid>
      <w:tr>
        <w:trPr>
          <w:tblHeader w:val="true"/>
          <w:cantSplit w:val="true"/>
        </w:trPr>
        <w:tc>
          <w:tcPr>
            <w:tcW w:type="dxa" w:w="2520"/>
            <w:shd w:fill="1F4E78"/>
            <w:tcMar>
              <w:top w:w="55" w:type="dxa"/>
              <w:start w:w="70" w:type="dxa"/>
              <w:bottom w:w="55" w:type="dxa"/>
              <w:end w:w="70" w:type="dxa"/>
            </w:tcMar>
            <w:vAlign w:val="center"/>
          </w:tcPr>
          <w:p>
            <w:pPr>
              <w:spacing w:after="0"/>
            </w:pPr>
            <w:r/>
            <w:r>
              <w:rPr>
                <w:rFonts w:ascii="Liberation Sans" w:hAnsi="Liberation Sans"/>
                <w:b/>
                <w:i w:val="0"/>
                <w:color w:val="FFFFFF"/>
                <w:sz w:val="16"/>
              </w:rPr>
              <w:t>Rule</w:t>
            </w:r>
          </w:p>
        </w:tc>
        <w:tc>
          <w:tcPr>
            <w:tcW w:type="dxa" w:w="7128"/>
            <w:shd w:fill="1F4E78"/>
            <w:tcMar>
              <w:top w:w="55" w:type="dxa"/>
              <w:start w:w="70" w:type="dxa"/>
              <w:bottom w:w="55" w:type="dxa"/>
              <w:end w:w="70" w:type="dxa"/>
            </w:tcMar>
            <w:vAlign w:val="center"/>
          </w:tcPr>
          <w:p>
            <w:pPr>
              <w:spacing w:after="0"/>
            </w:pPr>
            <w:r/>
            <w:r>
              <w:rPr>
                <w:rFonts w:ascii="Liberation Sans" w:hAnsi="Liberation Sans"/>
                <w:b/>
                <w:i w:val="0"/>
                <w:color w:val="FFFFFF"/>
                <w:sz w:val="16"/>
              </w:rPr>
              <w:t>Production Requirement</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Manifest Before Asset</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No full-production asset work begins until the selected content package and required variants are known.</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Reuse First</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Use shared material families, culture kits, creature body plans, rigs, animation sets, room grammars, effects and sound families where they preserve identity.</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Signature Protection</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Major cultures, bosses, realms and wonders may receive unique assets only when their package role and budget justify them.</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Minimal Attachments</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Core assets include the sockets, events and metadata needed for later dedicated audio/VFX tools without requiring those tools now.</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Source Provenance</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Every production asset records source project, author/tool, licence, generation method, edits and approval.</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Performance Class</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Assets declare LOD, material, animation, particle, audio-voice and memory expectations.</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No Gameplay Ownership</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Asset files cannot become the only source of gameplay values, IDs, drops, interaction rules or progression.</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Validation</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Missing files, orphan events, invalid sockets, unsupported variants, style drift and budget violations block Asset Ready.</w:t>
            </w:r>
          </w:p>
        </w:tc>
      </w:tr>
    </w:tbl>
    <w:p>
      <w:pPr>
        <w:spacing w:after="0"/>
      </w:pPr>
    </w:p>
    <w:p>
      <w:pPr>
        <w:widowControl/>
      </w:pPr>
      <w:r>
        <w:rPr>
          <w:rFonts w:ascii="Liberation Sans" w:hAnsi="Liberation Sans"/>
          <w:b w:val="0"/>
          <w:i w:val="0"/>
          <w:color w:val="202E3E"/>
          <w:sz w:val="18"/>
        </w:rPr>
        <w:t>Vessel Forge, vessel-blueprint authoring, ship component sockets, moving-interior markers and maritime asset families are Set 26 responsibilities built on the existing Forge architecture. Document 25K defines only the universal manifest and admission contract needed to accept those outputs.</w:t>
      </w:r>
    </w:p>
    <w:p>
      <w:pPr>
        <w:pStyle w:val="Heading1"/>
        <w:keepNext/>
      </w:pPr>
      <w:r>
        <w:t>25. Validation, Evidence and Audit Policy</w:t>
      </w:r>
    </w:p>
    <w:p>
      <w:pPr>
        <w:widowControl/>
      </w:pPr>
      <w:r>
        <w:rPr>
          <w:rFonts w:ascii="Liberation Sans" w:hAnsi="Liberation Sans"/>
          <w:b w:val="0"/>
          <w:i w:val="0"/>
          <w:color w:val="202E3E"/>
          <w:sz w:val="18"/>
        </w:rPr>
        <w:t>Validation is a production system, not a final cleanup phase. Every lifecycle gate must identify the evidence required and the tool or human review that produces it.</w:t>
      </w:r>
    </w:p>
    <w:tbl>
      <w:tblPr>
        <w:tblStyle w:val="TableGrid"/>
        <w:tblW w:type="auto" w:w="0"/>
        <w:jc w:val="center"/>
        <w:tblLayout w:type="fixed"/>
        <w:tblLook w:firstColumn="1" w:firstRow="1" w:lastColumn="0" w:lastRow="0" w:noHBand="0" w:noVBand="1" w:val="04A0"/>
      </w:tblPr>
      <w:tblGrid>
        <w:gridCol w:w="3277"/>
        <w:gridCol w:w="3277"/>
        <w:gridCol w:w="3277"/>
      </w:tblGrid>
      <w:tr>
        <w:trPr>
          <w:tblHeader w:val="true"/>
          <w:cantSplit w:val="true"/>
        </w:trPr>
        <w:tc>
          <w:tcPr>
            <w:tcW w:type="dxa" w:w="2304"/>
            <w:shd w:fill="1F4E78"/>
            <w:tcMar>
              <w:top w:w="55" w:type="dxa"/>
              <w:start w:w="70" w:type="dxa"/>
              <w:bottom w:w="55" w:type="dxa"/>
              <w:end w:w="70" w:type="dxa"/>
            </w:tcMar>
            <w:vAlign w:val="center"/>
          </w:tcPr>
          <w:p>
            <w:pPr>
              <w:spacing w:after="0"/>
            </w:pPr>
            <w:r/>
            <w:r>
              <w:rPr>
                <w:rFonts w:ascii="Liberation Sans" w:hAnsi="Liberation Sans"/>
                <w:b/>
                <w:i w:val="0"/>
                <w:color w:val="FFFFFF"/>
                <w:sz w:val="16"/>
              </w:rPr>
              <w:t>Validation Class</w:t>
            </w:r>
          </w:p>
        </w:tc>
        <w:tc>
          <w:tcPr>
            <w:tcW w:type="dxa" w:w="3528"/>
            <w:shd w:fill="1F4E78"/>
            <w:tcMar>
              <w:top w:w="55" w:type="dxa"/>
              <w:start w:w="70" w:type="dxa"/>
              <w:bottom w:w="55" w:type="dxa"/>
              <w:end w:w="70" w:type="dxa"/>
            </w:tcMar>
            <w:vAlign w:val="center"/>
          </w:tcPr>
          <w:p>
            <w:pPr>
              <w:spacing w:after="0"/>
            </w:pPr>
            <w:r/>
            <w:r>
              <w:rPr>
                <w:rFonts w:ascii="Liberation Sans" w:hAnsi="Liberation Sans"/>
                <w:b/>
                <w:i w:val="0"/>
                <w:color w:val="FFFFFF"/>
                <w:sz w:val="16"/>
              </w:rPr>
              <w:t>Examples</w:t>
            </w:r>
          </w:p>
        </w:tc>
        <w:tc>
          <w:tcPr>
            <w:tcW w:type="dxa" w:w="3816"/>
            <w:shd w:fill="1F4E78"/>
            <w:tcMar>
              <w:top w:w="55" w:type="dxa"/>
              <w:start w:w="70" w:type="dxa"/>
              <w:bottom w:w="55" w:type="dxa"/>
              <w:end w:w="70" w:type="dxa"/>
            </w:tcMar>
            <w:vAlign w:val="center"/>
          </w:tcPr>
          <w:p>
            <w:pPr>
              <w:spacing w:after="0"/>
            </w:pPr>
            <w:r/>
            <w:r>
              <w:rPr>
                <w:rFonts w:ascii="Liberation Sans" w:hAnsi="Liberation Sans"/>
                <w:b/>
                <w:i w:val="0"/>
                <w:color w:val="FFFFFF"/>
                <w:sz w:val="16"/>
              </w:rPr>
              <w:t>Minimum Evidence</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Schema/Namespace</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Type, required field, ID grammar, duplicate key, alias, parent and pack ownership.</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Machine-readable validation report.</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Reference/Dependency</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Hard/soft links, cardinality, cycles, load order, reverse references and removed-content effects.</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Dependency graph and zero unresolved blockers.</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Expansion/Pack Compatibility</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Required versus optional references, extension facets, supported ranges, absence/removal behaviour and namespace ownership.</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Cross-pack matrix and enabled/disabled/removal test profiles.</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Semantic/Completeness</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World role, ecology, culture, progression, fallback, representation and package contract.</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Checklist plus human domain review.</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Seed/Progression</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Determinism, diversity, traversability, capability availability, safe start, realm return and repair rate.</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Batch seed report and retained failing seeds.</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Gameplay/Integration</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Resource conservation, choices, outcomes, UI, authority, saves and aftermath.</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Automated integration tests and reviewed playthrough evidence.</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Performance/LOD</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Frame, memory, streaming, tick, save, load and catch-up budgets.</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Packaged-build profile against approved hardware.</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Accessibility/Trust</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Input alternatives, colour/audio dependence, warnings, localisation, generated-history clarity and consent/ownership.</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Accessibility checklist and representative review.</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Migration/Recovery</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Old definition resolution, aliases, tombstones, pack changes, backups and failed migration.</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Migration matrix and destructive-failure test.</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Spatial/Authority Extension</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Local-space/world-space bindings, persistent moving-instance ownership, LOD promotion/demotion and join/reconnect identity where an expansion requires them.</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Set 26 technical test contract and packaged-build evidence before integration.</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POC Leakage</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Names, IDs, assets, manifests, code branches, fallbacks and docs.</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Automated scan plus manual archive audit.</w:t>
            </w:r>
          </w:p>
        </w:tc>
      </w:tr>
    </w:tbl>
    <w:p>
      <w:pPr>
        <w:spacing w:after="0"/>
      </w:pPr>
    </w:p>
    <w:tbl>
      <w:tblPr>
        <w:tblW w:type="auto" w:w="0"/>
        <w:jc w:val="center"/>
        <w:tblLayout w:type="fixed"/>
        <w:tblLook w:firstColumn="1" w:firstRow="1" w:lastColumn="0" w:lastRow="0" w:noHBand="0" w:noVBand="1" w:val="04A0"/>
      </w:tblPr>
      <w:tblGrid>
        <w:gridCol w:w="9831"/>
      </w:tblGrid>
      <w:tr>
        <w:tc>
          <w:tcPr>
            <w:tcW w:type="dxa" w:w="9648"/>
            <w:tcMar>
              <w:top w:w="75" w:type="dxa"/>
              <w:start w:w="90" w:type="dxa"/>
              <w:bottom w:w="75" w:type="dxa"/>
              <w:end w:w="90" w:type="dxa"/>
            </w:tcMar>
            <w:shd w:fill="1F4E78"/>
          </w:tcPr>
          <w:p>
            <w:r/>
            <w:r>
              <w:rPr>
                <w:rFonts w:ascii="Liberation Sans" w:hAnsi="Liberation Sans"/>
                <w:b/>
                <w:i w:val="0"/>
                <w:color w:val="FFFFFF"/>
                <w:sz w:val="18"/>
              </w:rPr>
              <w:t>Evidence Retention Rule</w:t>
            </w:r>
          </w:p>
        </w:tc>
      </w:tr>
      <w:tr>
        <w:tc>
          <w:tcPr>
            <w:tcW w:type="dxa" w:w="9648"/>
            <w:tcMar>
              <w:top w:w="75" w:type="dxa"/>
              <w:start w:w="90" w:type="dxa"/>
              <w:bottom w:w="75" w:type="dxa"/>
              <w:end w:w="90" w:type="dxa"/>
            </w:tcMar>
            <w:shd w:fill="DCE6F1"/>
          </w:tcPr>
          <w:p>
            <w:r/>
            <w:r>
              <w:rPr>
                <w:rFonts w:ascii="Liberation Sans" w:hAnsi="Liberation Sans"/>
                <w:b w:val="0"/>
                <w:i w:val="0"/>
                <w:color w:val="202E3E"/>
                <w:sz w:val="17"/>
              </w:rPr>
              <w:t>A status record links to the exact schema version, content-pack hash, test build, seed set, asset manifest and approval that justified advancement. Later changes invalidate only the affected evidence and trigger targeted revalidation.</w:t>
            </w:r>
          </w:p>
        </w:tc>
      </w:tr>
    </w:tbl>
    <w:p>
      <w:pPr>
        <w:spacing w:after="0"/>
      </w:pPr>
    </w:p>
    <w:p>
      <w:pPr>
        <w:pStyle w:val="Heading1"/>
        <w:keepNext/>
      </w:pPr>
      <w:r>
        <w:t>26. Risk, Issue, Dependency and Change Registers</w:t>
      </w:r>
    </w:p>
    <w:tbl>
      <w:tblPr>
        <w:tblStyle w:val="TableGrid"/>
        <w:tblW w:type="auto" w:w="0"/>
        <w:jc w:val="center"/>
        <w:tblLayout w:type="fixed"/>
        <w:tblLook w:firstColumn="1" w:firstRow="1" w:lastColumn="0" w:lastRow="0" w:noHBand="0" w:noVBand="1" w:val="04A0"/>
      </w:tblPr>
      <w:tblGrid>
        <w:gridCol w:w="3277"/>
        <w:gridCol w:w="3277"/>
        <w:gridCol w:w="3277"/>
      </w:tblGrid>
      <w:tr>
        <w:trPr>
          <w:tblHeader w:val="true"/>
          <w:cantSplit w:val="true"/>
        </w:trPr>
        <w:tc>
          <w:tcPr>
            <w:tcW w:type="dxa" w:w="2304"/>
            <w:shd w:fill="1F4E78"/>
            <w:tcMar>
              <w:top w:w="55" w:type="dxa"/>
              <w:start w:w="70" w:type="dxa"/>
              <w:bottom w:w="55" w:type="dxa"/>
              <w:end w:w="70" w:type="dxa"/>
            </w:tcMar>
            <w:vAlign w:val="center"/>
          </w:tcPr>
          <w:p>
            <w:pPr>
              <w:spacing w:after="0"/>
            </w:pPr>
            <w:r/>
            <w:r>
              <w:rPr>
                <w:rFonts w:ascii="Liberation Sans" w:hAnsi="Liberation Sans"/>
                <w:b/>
                <w:i w:val="0"/>
                <w:color w:val="FFFFFF"/>
                <w:sz w:val="16"/>
              </w:rPr>
              <w:t>Register</w:t>
            </w:r>
          </w:p>
        </w:tc>
        <w:tc>
          <w:tcPr>
            <w:tcW w:type="dxa" w:w="3528"/>
            <w:shd w:fill="1F4E78"/>
            <w:tcMar>
              <w:top w:w="55" w:type="dxa"/>
              <w:start w:w="70" w:type="dxa"/>
              <w:bottom w:w="55" w:type="dxa"/>
              <w:end w:w="70" w:type="dxa"/>
            </w:tcMar>
            <w:vAlign w:val="center"/>
          </w:tcPr>
          <w:p>
            <w:pPr>
              <w:spacing w:after="0"/>
            </w:pPr>
            <w:r/>
            <w:r>
              <w:rPr>
                <w:rFonts w:ascii="Liberation Sans" w:hAnsi="Liberation Sans"/>
                <w:b/>
                <w:i w:val="0"/>
                <w:color w:val="FFFFFF"/>
                <w:sz w:val="16"/>
              </w:rPr>
              <w:t>Purpose</w:t>
            </w:r>
          </w:p>
        </w:tc>
        <w:tc>
          <w:tcPr>
            <w:tcW w:type="dxa" w:w="3816"/>
            <w:shd w:fill="1F4E78"/>
            <w:tcMar>
              <w:top w:w="55" w:type="dxa"/>
              <w:start w:w="70" w:type="dxa"/>
              <w:bottom w:w="55" w:type="dxa"/>
              <w:end w:w="70" w:type="dxa"/>
            </w:tcMar>
            <w:vAlign w:val="center"/>
          </w:tcPr>
          <w:p>
            <w:pPr>
              <w:spacing w:after="0"/>
            </w:pPr>
            <w:r/>
            <w:r>
              <w:rPr>
                <w:rFonts w:ascii="Liberation Sans" w:hAnsi="Liberation Sans"/>
                <w:b/>
                <w:i w:val="0"/>
                <w:color w:val="FFFFFF"/>
                <w:sz w:val="16"/>
              </w:rPr>
              <w:t>Minimum Fields</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Risk Register</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Tracks uncertain future conditions that may harm scope, quality, schedule or safety.</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Probability, impact, trigger, mitigation, owner, review date.</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Issue Register</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Tracks current defects, contradictions or blockers.</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Severity, affected sources, reproduction/evidence, owner, target gate.</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Dependency Register</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Tracks required systems, content, tools, assets and decisions.</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Provider, consumer, type, status, fallback, blocking relationship.</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Decision Register</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Tracks approved, pending, deferred, rejected and superseded decisions.</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ID, authority, options, rationale, impacts, dependencies, evidence.</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Change Register</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Tracks modifications to active source truth, schemas, packs and milestones.</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Old/new version, reason, migration, validators, approval, release note.</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Deferral Register</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Tracks work intentionally excluded from a milestone.</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Tier, reason, safe absence behaviour, revisit gate and dependencies.</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Expansion Integration Register</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Tracks approved expansion outputs awaiting Set 25/main-document admission.</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Expansion source, consuming document, dependency mode, status, owner, migration, validation and closure effect.</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Integration Debt Register</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Tracks known temporary gaps between approved Set 26 direction and active registries/documents/builds.</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Debt description, why safe temporarily, affected gate, owner, target source and deadline.</w:t>
            </w:r>
          </w:p>
        </w:tc>
      </w:tr>
    </w:tbl>
    <w:p>
      <w:pPr>
        <w:spacing w:after="0"/>
      </w:pPr>
    </w:p>
    <w:p>
      <w:pPr>
        <w:widowControl/>
      </w:pPr>
      <w:r>
        <w:rPr>
          <w:rFonts w:ascii="Liberation Sans" w:hAnsi="Liberation Sans"/>
          <w:b w:val="0"/>
          <w:i w:val="0"/>
          <w:color w:val="202E3E"/>
          <w:sz w:val="18"/>
        </w:rPr>
        <w:t>The registers may begin as documentation tables but should become structured data or production-board records once 25D and 25L define tooling. The canonical record must not be split between chat history, task prompts and untracked notes.</w:t>
      </w:r>
    </w:p>
    <w:p>
      <w:pPr>
        <w:pStyle w:val="Heading3"/>
        <w:keepNext/>
      </w:pPr>
      <w:r>
        <w:t>Set 26 Integration Risks</w:t>
      </w:r>
    </w:p>
    <w:tbl>
      <w:tblPr>
        <w:tblStyle w:val="TableGrid"/>
        <w:tblW w:type="auto" w:w="0"/>
        <w:jc w:val="center"/>
        <w:tblLayout w:type="fixed"/>
        <w:tblLook w:firstColumn="1" w:firstRow="1" w:lastColumn="0" w:lastRow="0" w:noHBand="0" w:noVBand="1" w:val="04A0"/>
      </w:tblPr>
      <w:tblGrid>
        <w:gridCol w:w="3277"/>
        <w:gridCol w:w="3277"/>
        <w:gridCol w:w="3277"/>
      </w:tblGrid>
      <w:tr>
        <w:trPr>
          <w:tblHeader w:val="true"/>
          <w:cantSplit w:val="true"/>
        </w:trPr>
        <w:tc>
          <w:tcPr>
            <w:tcW w:type="dxa" w:w="2304"/>
            <w:shd w:fill="1F4E78"/>
            <w:tcMar>
              <w:top w:w="55" w:type="dxa"/>
              <w:start w:w="70" w:type="dxa"/>
              <w:bottom w:w="55" w:type="dxa"/>
              <w:end w:w="70" w:type="dxa"/>
            </w:tcMar>
            <w:vAlign w:val="center"/>
          </w:tcPr>
          <w:p>
            <w:pPr>
              <w:spacing w:after="0"/>
            </w:pPr>
            <w:r/>
            <w:r>
              <w:rPr>
                <w:rFonts w:ascii="Liberation Sans" w:hAnsi="Liberation Sans"/>
                <w:b/>
                <w:i w:val="0"/>
                <w:color w:val="FFFFFF"/>
                <w:sz w:val="16"/>
              </w:rPr>
              <w:t>Risk</w:t>
            </w:r>
          </w:p>
        </w:tc>
        <w:tc>
          <w:tcPr>
            <w:tcW w:type="dxa" w:w="3528"/>
            <w:shd w:fill="1F4E78"/>
            <w:tcMar>
              <w:top w:w="55" w:type="dxa"/>
              <w:start w:w="70" w:type="dxa"/>
              <w:bottom w:w="55" w:type="dxa"/>
              <w:end w:w="70" w:type="dxa"/>
            </w:tcMar>
            <w:vAlign w:val="center"/>
          </w:tcPr>
          <w:p>
            <w:pPr>
              <w:spacing w:after="0"/>
            </w:pPr>
            <w:r/>
            <w:r>
              <w:rPr>
                <w:rFonts w:ascii="Liberation Sans" w:hAnsi="Liberation Sans"/>
                <w:b/>
                <w:i w:val="0"/>
                <w:color w:val="FFFFFF"/>
                <w:sz w:val="16"/>
              </w:rPr>
              <w:t>Consequence</w:t>
            </w:r>
          </w:p>
        </w:tc>
        <w:tc>
          <w:tcPr>
            <w:tcW w:type="dxa" w:w="3816"/>
            <w:shd w:fill="1F4E78"/>
            <w:tcMar>
              <w:top w:w="55" w:type="dxa"/>
              <w:start w:w="70" w:type="dxa"/>
              <w:bottom w:w="55" w:type="dxa"/>
              <w:end w:w="70" w:type="dxa"/>
            </w:tcMar>
            <w:vAlign w:val="center"/>
          </w:tcPr>
          <w:p>
            <w:pPr>
              <w:spacing w:after="0"/>
            </w:pPr>
            <w:r/>
            <w:r>
              <w:rPr>
                <w:rFonts w:ascii="Liberation Sans" w:hAnsi="Liberation Sans"/>
                <w:b/>
                <w:i w:val="0"/>
                <w:color w:val="FFFFFF"/>
                <w:sz w:val="16"/>
              </w:rPr>
              <w:t>Control</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Set 25 closes before Set 26 admission</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Main documents, packs, validators and implementation backlog falsely appear complete while maritime obligations remain unowned.</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Block final 25L closure until obligations are admitted, deferred or explicitly excluded.</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Set 26 invents a parallel kernel</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Vessel, fluid, route or fleet IDs and fields become incompatible with the production spine.</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Stabilise 25B first and require 25C/25D extension registration.</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Maritime design is duplicated in Set 25</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Conflicting owners and amendment drift.</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Keep detailed oceans, vessels, crews, naval combat and marine systems in 26A-26O.</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Physical registries expand too early</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Speculative ship blocks/items/recipes create rework and asset waste.</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Require 26N plus relevant preceding Set 26 contracts before canonical enumeration.</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Optional pack removal corrupts saves</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Vessels, cargo, ports, routes or player state become unresolved.</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25D/25E removal policy, tombstones, quarantine/recovery and migration tests.</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Technical feasibility is assumed</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Moving interiors, fluids, multiplayer authority or LOD may exceed performance budgets.</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Tooling Research gates and representative spikes owned by 26O/Document 18.</w:t>
            </w:r>
          </w:p>
        </w:tc>
      </w:tr>
    </w:tbl>
    <w:p>
      <w:pPr>
        <w:spacing w:after="0"/>
      </w:pPr>
    </w:p>
    <w:p>
      <w:pPr>
        <w:pStyle w:val="Heading1"/>
        <w:keepNext/>
      </w:pPr>
      <w:r>
        <w:t>27. Milestone and Release Governance</w:t>
      </w:r>
    </w:p>
    <w:tbl>
      <w:tblPr>
        <w:tblStyle w:val="TableGrid"/>
        <w:tblW w:type="auto" w:w="0"/>
        <w:jc w:val="center"/>
        <w:tblLayout w:type="fixed"/>
        <w:tblLook w:firstColumn="1" w:firstRow="1" w:lastColumn="0" w:lastRow="0" w:noHBand="0" w:noVBand="1" w:val="04A0"/>
      </w:tblPr>
      <w:tblGrid>
        <w:gridCol w:w="3277"/>
        <w:gridCol w:w="3277"/>
        <w:gridCol w:w="3277"/>
      </w:tblGrid>
      <w:tr>
        <w:trPr>
          <w:tblHeader w:val="true"/>
          <w:cantSplit w:val="true"/>
        </w:trPr>
        <w:tc>
          <w:tcPr>
            <w:tcW w:type="dxa" w:w="2304"/>
            <w:shd w:fill="1F4E78"/>
            <w:tcMar>
              <w:top w:w="55" w:type="dxa"/>
              <w:start w:w="70" w:type="dxa"/>
              <w:bottom w:w="55" w:type="dxa"/>
              <w:end w:w="70" w:type="dxa"/>
            </w:tcMar>
            <w:vAlign w:val="center"/>
          </w:tcPr>
          <w:p>
            <w:pPr>
              <w:spacing w:after="0"/>
            </w:pPr>
            <w:r/>
            <w:r>
              <w:rPr>
                <w:rFonts w:ascii="Liberation Sans" w:hAnsi="Liberation Sans"/>
                <w:b/>
                <w:i w:val="0"/>
                <w:color w:val="FFFFFF"/>
                <w:sz w:val="16"/>
              </w:rPr>
              <w:t>Phase</w:t>
            </w:r>
          </w:p>
        </w:tc>
        <w:tc>
          <w:tcPr>
            <w:tcW w:type="dxa" w:w="3528"/>
            <w:shd w:fill="1F4E78"/>
            <w:tcMar>
              <w:top w:w="55" w:type="dxa"/>
              <w:start w:w="70" w:type="dxa"/>
              <w:bottom w:w="55" w:type="dxa"/>
              <w:end w:w="70" w:type="dxa"/>
            </w:tcMar>
            <w:vAlign w:val="center"/>
          </w:tcPr>
          <w:p>
            <w:pPr>
              <w:spacing w:after="0"/>
            </w:pPr>
            <w:r/>
            <w:r>
              <w:rPr>
                <w:rFonts w:ascii="Liberation Sans" w:hAnsi="Liberation Sans"/>
                <w:b/>
                <w:i w:val="0"/>
                <w:color w:val="FFFFFF"/>
                <w:sz w:val="16"/>
              </w:rPr>
              <w:t>Primary Deliverables</w:t>
            </w:r>
          </w:p>
        </w:tc>
        <w:tc>
          <w:tcPr>
            <w:tcW w:type="dxa" w:w="3816"/>
            <w:shd w:fill="1F4E78"/>
            <w:tcMar>
              <w:top w:w="55" w:type="dxa"/>
              <w:start w:w="70" w:type="dxa"/>
              <w:bottom w:w="55" w:type="dxa"/>
              <w:end w:w="70" w:type="dxa"/>
            </w:tcMar>
            <w:vAlign w:val="center"/>
          </w:tcPr>
          <w:p>
            <w:pPr>
              <w:spacing w:after="0"/>
            </w:pPr>
            <w:r/>
            <w:r>
              <w:rPr>
                <w:rFonts w:ascii="Liberation Sans" w:hAnsi="Liberation Sans"/>
                <w:b/>
                <w:i w:val="0"/>
                <w:color w:val="FFFFFF"/>
                <w:sz w:val="16"/>
              </w:rPr>
              <w:t>Exit Gate</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0. Archive and Baseline</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Freeze POC branch, archive IDs, capture fixtures and inventory hardcoding.</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Production branch loads without selecting POC content.</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1. Registry Kernel</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25B identity baseline, schemas, namespaces, relationships, manifests, import/export and validators, including general expansion admission.</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Representative definitions and one synthetic expansion package load and cross-link in Godot.</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2. Core Classification</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Tier, owner, dependencies and backlog status for every Atlas foundation.</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Core scope locked and dependency-complete on paper.</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3. Physical Registry Revision</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Core Blocks, Items, Resources and Recipes.</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Every selected package has valid physical I/O and progression paths.</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4. Seed World Kernel</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Deterministic selection, manifests, suitability and repair fallbacks.</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Large seed suite has no POC content, invalid world or progression dead end.</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5. Living World Integration</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Civilisation, ecology, trade, automation, magic, history/events, states and LOD.</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Persistent coherent world near and far.</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6. Asset Pipeline</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Forge manifests, reusable kits, icons, animation and audio/VFX attachments.</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Core entries reach Asset Ready within budgets.</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7. Adventure Integration</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Dungeons, bosses, realm routes, outcomes, rewards and aftermath.</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Loops complete without scripted POC sequence.</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8. UI, Accessibility, Multiplayer and Saves</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Player-facing systems, settings, authority, migration and recovery.</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Representative playthrough and update cycle pass.</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9. Core Release Gate</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Balance, performance, seed diversity, regression, localisation, packaging and approved expansion compatibility.</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Definition of Done, declared Set 26 admission status and Ash approval pass.</w:t>
            </w:r>
          </w:p>
        </w:tc>
      </w:tr>
    </w:tbl>
    <w:p>
      <w:pPr>
        <w:spacing w:after="0"/>
      </w:pPr>
    </w:p>
    <w:p>
      <w:pPr>
        <w:pStyle w:val="Heading2"/>
        <w:keepNext/>
      </w:pPr>
      <w:r>
        <w:t>27.1 Gate Discipline</w:t>
      </w:r>
    </w:p>
    <w:p>
      <w:pPr>
        <w:widowControl/>
      </w:pPr>
      <w:r>
        <w:rPr>
          <w:rFonts w:ascii="Liberation Sans" w:hAnsi="Liberation Sans"/>
          <w:b w:val="0"/>
          <w:i w:val="0"/>
          <w:color w:val="202E3E"/>
          <w:sz w:val="18"/>
        </w:rPr>
        <w:t>A phase may overlap exploratory work with the next phase, but no dependent production work may assume the next gate has passed. Placeholder prototypes are allowed only when their placeholder status, owner and replacement gate are explicit.</w:t>
      </w:r>
    </w:p>
    <w:p>
      <w:pPr>
        <w:pStyle w:val="Heading2"/>
        <w:keepNext/>
      </w:pPr>
      <w:r>
        <w:t>27.2 Set 26 Parallel Lane and Integration Checkpoints</w:t>
      </w:r>
    </w:p>
    <w:tbl>
      <w:tblPr>
        <w:tblStyle w:val="TableGrid"/>
        <w:tblW w:type="auto" w:w="0"/>
        <w:jc w:val="center"/>
        <w:tblLayout w:type="fixed"/>
        <w:tblLook w:firstColumn="1" w:firstRow="1" w:lastColumn="0" w:lastRow="0" w:noHBand="0" w:noVBand="1" w:val="04A0"/>
      </w:tblPr>
      <w:tblGrid>
        <w:gridCol w:w="2458"/>
        <w:gridCol w:w="2458"/>
        <w:gridCol w:w="2458"/>
        <w:gridCol w:w="2458"/>
      </w:tblGrid>
      <w:tr>
        <w:trPr>
          <w:tblHeader w:val="true"/>
          <w:cantSplit w:val="true"/>
        </w:trPr>
        <w:tc>
          <w:tcPr>
            <w:tcW w:type="dxa" w:w="1944"/>
            <w:shd w:fill="1F4E78"/>
            <w:tcMar>
              <w:top w:w="55" w:type="dxa"/>
              <w:start w:w="70" w:type="dxa"/>
              <w:bottom w:w="55" w:type="dxa"/>
              <w:end w:w="70" w:type="dxa"/>
            </w:tcMar>
            <w:vAlign w:val="center"/>
          </w:tcPr>
          <w:p>
            <w:pPr>
              <w:spacing w:after="0"/>
            </w:pPr>
            <w:r/>
            <w:r>
              <w:rPr>
                <w:rFonts w:ascii="Liberation Sans" w:hAnsi="Liberation Sans"/>
                <w:b/>
                <w:i w:val="0"/>
                <w:color w:val="FFFFFF"/>
                <w:sz w:val="16"/>
              </w:rPr>
              <w:t>Checkpoint</w:t>
            </w:r>
          </w:p>
        </w:tc>
        <w:tc>
          <w:tcPr>
            <w:tcW w:type="dxa" w:w="2592"/>
            <w:shd w:fill="1F4E78"/>
            <w:tcMar>
              <w:top w:w="55" w:type="dxa"/>
              <w:start w:w="70" w:type="dxa"/>
              <w:bottom w:w="55" w:type="dxa"/>
              <w:end w:w="70" w:type="dxa"/>
            </w:tcMar>
            <w:vAlign w:val="center"/>
          </w:tcPr>
          <w:p>
            <w:pPr>
              <w:spacing w:after="0"/>
            </w:pPr>
            <w:r/>
            <w:r>
              <w:rPr>
                <w:rFonts w:ascii="Liberation Sans" w:hAnsi="Liberation Sans"/>
                <w:b/>
                <w:i w:val="0"/>
                <w:color w:val="FFFFFF"/>
                <w:sz w:val="16"/>
              </w:rPr>
              <w:t>Set 25 State Required</w:t>
            </w:r>
          </w:p>
        </w:tc>
        <w:tc>
          <w:tcPr>
            <w:tcW w:type="dxa" w:w="2520"/>
            <w:shd w:fill="1F4E78"/>
            <w:tcMar>
              <w:top w:w="55" w:type="dxa"/>
              <w:start w:w="70" w:type="dxa"/>
              <w:bottom w:w="55" w:type="dxa"/>
              <w:end w:w="70" w:type="dxa"/>
            </w:tcMar>
            <w:vAlign w:val="center"/>
          </w:tcPr>
          <w:p>
            <w:pPr>
              <w:spacing w:after="0"/>
            </w:pPr>
            <w:r/>
            <w:r>
              <w:rPr>
                <w:rFonts w:ascii="Liberation Sans" w:hAnsi="Liberation Sans"/>
                <w:b/>
                <w:i w:val="0"/>
                <w:color w:val="FFFFFF"/>
                <w:sz w:val="16"/>
              </w:rPr>
              <w:t>Set 26 Work Permitted</w:t>
            </w:r>
          </w:p>
        </w:tc>
        <w:tc>
          <w:tcPr>
            <w:tcW w:type="dxa" w:w="2592"/>
            <w:shd w:fill="1F4E78"/>
            <w:tcMar>
              <w:top w:w="55" w:type="dxa"/>
              <w:start w:w="70" w:type="dxa"/>
              <w:bottom w:w="55" w:type="dxa"/>
              <w:end w:w="70" w:type="dxa"/>
            </w:tcMar>
            <w:vAlign w:val="center"/>
          </w:tcPr>
          <w:p>
            <w:pPr>
              <w:spacing w:after="0"/>
            </w:pPr>
            <w:r/>
            <w:r>
              <w:rPr>
                <w:rFonts w:ascii="Liberation Sans" w:hAnsi="Liberation Sans"/>
                <w:b/>
                <w:i w:val="0"/>
                <w:color w:val="FFFFFF"/>
                <w:sz w:val="16"/>
              </w:rPr>
              <w:t>Integration Evidence</w:t>
            </w:r>
          </w:p>
        </w:tc>
      </w:tr>
      <w:tr>
        <w:trPr>
          <w:cantSplit w:val="true"/>
        </w:trPr>
        <w:tc>
          <w:tcPr>
            <w:tcW w:type="dxa" w:w="1944"/>
            <w:tcMar>
              <w:top w:w="55" w:type="dxa"/>
              <w:start w:w="70" w:type="dxa"/>
              <w:bottom w:w="55" w:type="dxa"/>
              <w:end w:w="70" w:type="dxa"/>
            </w:tcMar>
            <w:vAlign w:val="top"/>
          </w:tcPr>
          <w:p>
            <w:pPr>
              <w:spacing w:after="0"/>
            </w:pPr>
            <w:r/>
            <w:r>
              <w:rPr>
                <w:rFonts w:ascii="Liberation Sans" w:hAnsi="Liberation Sans"/>
                <w:b w:val="0"/>
                <w:i w:val="0"/>
                <w:color w:val="202E3E"/>
                <w:sz w:val="15"/>
              </w:rPr>
              <w:t>P1 - Governance Recognition</w:t>
            </w:r>
          </w:p>
        </w:tc>
        <w:tc>
          <w:tcPr>
            <w:tcW w:type="dxa" w:w="2592"/>
            <w:tcMar>
              <w:top w:w="55" w:type="dxa"/>
              <w:start w:w="70" w:type="dxa"/>
              <w:bottom w:w="55" w:type="dxa"/>
              <w:end w:w="70" w:type="dxa"/>
            </w:tcMar>
            <w:vAlign w:val="top"/>
          </w:tcPr>
          <w:p>
            <w:pPr>
              <w:spacing w:after="0"/>
            </w:pPr>
            <w:r/>
            <w:r>
              <w:rPr>
                <w:rFonts w:ascii="Liberation Sans" w:hAnsi="Liberation Sans"/>
                <w:b w:val="0"/>
                <w:i w:val="0"/>
                <w:color w:val="202E3E"/>
                <w:sz w:val="15"/>
              </w:rPr>
              <w:t>25A v0.2 approved.</w:t>
            </w:r>
          </w:p>
        </w:tc>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26A vision/scope and source review; early conceptual work.</w:t>
            </w:r>
          </w:p>
        </w:tc>
        <w:tc>
          <w:tcPr>
            <w:tcW w:type="dxa" w:w="2592"/>
            <w:tcMar>
              <w:top w:w="55" w:type="dxa"/>
              <w:start w:w="70" w:type="dxa"/>
              <w:bottom w:w="55" w:type="dxa"/>
              <w:end w:w="70" w:type="dxa"/>
            </w:tcMar>
            <w:vAlign w:val="top"/>
          </w:tcPr>
          <w:p>
            <w:pPr>
              <w:spacing w:after="0"/>
            </w:pPr>
            <w:r/>
            <w:r>
              <w:rPr>
                <w:rFonts w:ascii="Liberation Sans" w:hAnsi="Liberation Sans"/>
                <w:b w:val="0"/>
                <w:i w:val="0"/>
                <w:color w:val="202E3E"/>
                <w:sz w:val="15"/>
              </w:rPr>
              <w:t>Set 26 authority, boundaries and dependency register.</w:t>
            </w:r>
          </w:p>
        </w:tc>
      </w:tr>
      <w:tr>
        <w:trPr>
          <w:cantSplit w:val="true"/>
        </w:trPr>
        <w:tc>
          <w:tcPr>
            <w:tcW w:type="dxa" w:w="194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P2 - Identity Stability</w:t>
            </w:r>
          </w:p>
        </w:tc>
        <w:tc>
          <w:tcPr>
            <w:tcW w:type="dxa" w:w="2592"/>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25B v0.2 approved.</w:t>
            </w:r>
          </w:p>
        </w:tc>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Stable maritime IDs, parent/variant concepts and reference classes may be proposed.</w:t>
            </w:r>
          </w:p>
        </w:tc>
        <w:tc>
          <w:tcPr>
            <w:tcW w:type="dxa" w:w="2592"/>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No competing namespace/domain or duplicate ownership.</w:t>
            </w:r>
          </w:p>
        </w:tc>
      </w:tr>
      <w:tr>
        <w:trPr>
          <w:cantSplit w:val="true"/>
        </w:trPr>
        <w:tc>
          <w:tcPr>
            <w:tcW w:type="dxa" w:w="1944"/>
            <w:tcMar>
              <w:top w:w="55" w:type="dxa"/>
              <w:start w:w="70" w:type="dxa"/>
              <w:bottom w:w="55" w:type="dxa"/>
              <w:end w:w="70" w:type="dxa"/>
            </w:tcMar>
            <w:vAlign w:val="top"/>
          </w:tcPr>
          <w:p>
            <w:pPr>
              <w:spacing w:after="0"/>
            </w:pPr>
            <w:r/>
            <w:r>
              <w:rPr>
                <w:rFonts w:ascii="Liberation Sans" w:hAnsi="Liberation Sans"/>
                <w:b w:val="0"/>
                <w:i w:val="0"/>
                <w:color w:val="202E3E"/>
                <w:sz w:val="15"/>
              </w:rPr>
              <w:t>P3 - Schema and Pack Contracts</w:t>
            </w:r>
          </w:p>
        </w:tc>
        <w:tc>
          <w:tcPr>
            <w:tcW w:type="dxa" w:w="2592"/>
            <w:tcMar>
              <w:top w:w="55" w:type="dxa"/>
              <w:start w:w="70" w:type="dxa"/>
              <w:bottom w:w="55" w:type="dxa"/>
              <w:end w:w="70" w:type="dxa"/>
            </w:tcMar>
            <w:vAlign w:val="top"/>
          </w:tcPr>
          <w:p>
            <w:pPr>
              <w:spacing w:after="0"/>
            </w:pPr>
            <w:r/>
            <w:r>
              <w:rPr>
                <w:rFonts w:ascii="Liberation Sans" w:hAnsi="Liberation Sans"/>
                <w:b w:val="0"/>
                <w:i w:val="0"/>
                <w:color w:val="202E3E"/>
                <w:sz w:val="15"/>
              </w:rPr>
              <w:t>25C-25E approved for applicable areas.</w:t>
            </w:r>
          </w:p>
        </w:tc>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Registry-heavy 26B-26N contracts, manifests, migrations and validation profiles may be finalised.</w:t>
            </w:r>
          </w:p>
        </w:tc>
        <w:tc>
          <w:tcPr>
            <w:tcW w:type="dxa" w:w="2592"/>
            <w:tcMar>
              <w:top w:w="55" w:type="dxa"/>
              <w:start w:w="70" w:type="dxa"/>
              <w:bottom w:w="55" w:type="dxa"/>
              <w:end w:w="70" w:type="dxa"/>
            </w:tcMar>
            <w:vAlign w:val="top"/>
          </w:tcPr>
          <w:p>
            <w:pPr>
              <w:spacing w:after="0"/>
            </w:pPr>
            <w:r/>
            <w:r>
              <w:rPr>
                <w:rFonts w:ascii="Liberation Sans" w:hAnsi="Liberation Sans"/>
                <w:b w:val="0"/>
                <w:i w:val="0"/>
                <w:color w:val="202E3E"/>
                <w:sz w:val="15"/>
              </w:rPr>
              <w:t>Extension schemas and cross-pack tests pass.</w:t>
            </w:r>
          </w:p>
        </w:tc>
      </w:tr>
      <w:tr>
        <w:trPr>
          <w:cantSplit w:val="true"/>
        </w:trPr>
        <w:tc>
          <w:tcPr>
            <w:tcW w:type="dxa" w:w="194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P4 - Classification</w:t>
            </w:r>
          </w:p>
        </w:tc>
        <w:tc>
          <w:tcPr>
            <w:tcW w:type="dxa" w:w="2592"/>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25F-25G approved with Set 26 dependencies represented.</w:t>
            </w:r>
          </w:p>
        </w:tc>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Maritime packages can be assigned milestone tiers and production backlog status.</w:t>
            </w:r>
          </w:p>
        </w:tc>
        <w:tc>
          <w:tcPr>
            <w:tcW w:type="dxa" w:w="2592"/>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Complete package contracts and safe absence behaviour.</w:t>
            </w:r>
          </w:p>
        </w:tc>
      </w:tr>
      <w:tr>
        <w:trPr>
          <w:cantSplit w:val="true"/>
        </w:trPr>
        <w:tc>
          <w:tcPr>
            <w:tcW w:type="dxa" w:w="1944"/>
            <w:tcMar>
              <w:top w:w="55" w:type="dxa"/>
              <w:start w:w="70" w:type="dxa"/>
              <w:bottom w:w="55" w:type="dxa"/>
              <w:end w:w="70" w:type="dxa"/>
            </w:tcMar>
            <w:vAlign w:val="top"/>
          </w:tcPr>
          <w:p>
            <w:pPr>
              <w:spacing w:after="0"/>
            </w:pPr>
            <w:r/>
            <w:r>
              <w:rPr>
                <w:rFonts w:ascii="Liberation Sans" w:hAnsi="Liberation Sans"/>
                <w:b w:val="0"/>
                <w:i w:val="0"/>
                <w:color w:val="202E3E"/>
                <w:sz w:val="15"/>
              </w:rPr>
              <w:t>P5 - Physical/Asset Handoff</w:t>
            </w:r>
          </w:p>
        </w:tc>
        <w:tc>
          <w:tcPr>
            <w:tcW w:type="dxa" w:w="2592"/>
            <w:tcMar>
              <w:top w:w="55" w:type="dxa"/>
              <w:start w:w="70" w:type="dxa"/>
              <w:bottom w:w="55" w:type="dxa"/>
              <w:end w:w="70" w:type="dxa"/>
            </w:tcMar>
            <w:vAlign w:val="top"/>
          </w:tcPr>
          <w:p>
            <w:pPr>
              <w:spacing w:after="0"/>
            </w:pPr>
            <w:r/>
            <w:r>
              <w:rPr>
                <w:rFonts w:ascii="Liberation Sans" w:hAnsi="Liberation Sans"/>
                <w:b w:val="0"/>
                <w:i w:val="0"/>
                <w:color w:val="202E3E"/>
                <w:sz w:val="15"/>
              </w:rPr>
              <w:t>25H-25K general contracts active and relevant Set 26 sources Specified.</w:t>
            </w:r>
          </w:p>
        </w:tc>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Canonical maritime block/item/recipe and asset manifests may enter owning registries.</w:t>
            </w:r>
          </w:p>
        </w:tc>
        <w:tc>
          <w:tcPr>
            <w:tcW w:type="dxa" w:w="2592"/>
            <w:tcMar>
              <w:top w:w="55" w:type="dxa"/>
              <w:start w:w="70" w:type="dxa"/>
              <w:bottom w:w="55" w:type="dxa"/>
              <w:end w:w="70" w:type="dxa"/>
            </w:tcMar>
            <w:vAlign w:val="top"/>
          </w:tcPr>
          <w:p>
            <w:pPr>
              <w:spacing w:after="0"/>
            </w:pPr>
            <w:r/>
            <w:r>
              <w:rPr>
                <w:rFonts w:ascii="Liberation Sans" w:hAnsi="Liberation Sans"/>
                <w:b w:val="0"/>
                <w:i w:val="0"/>
                <w:color w:val="202E3E"/>
                <w:sz w:val="15"/>
              </w:rPr>
              <w:t>Physical I/O, provenance, Forge and performance evidence.</w:t>
            </w:r>
          </w:p>
        </w:tc>
      </w:tr>
      <w:tr>
        <w:trPr>
          <w:cantSplit w:val="true"/>
        </w:trPr>
        <w:tc>
          <w:tcPr>
            <w:tcW w:type="dxa" w:w="194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P6 - Final Closure</w:t>
            </w:r>
          </w:p>
        </w:tc>
        <w:tc>
          <w:tcPr>
            <w:tcW w:type="dxa" w:w="2592"/>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26N-26O and all selected preceding owners sufficiently locked.</w:t>
            </w:r>
          </w:p>
        </w:tc>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Final main-document amendments and implementation tasks.</w:t>
            </w:r>
          </w:p>
        </w:tc>
        <w:tc>
          <w:tcPr>
            <w:tcW w:type="dxa" w:w="2592"/>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25L integrity audit shows no hidden integration debt.</w:t>
            </w:r>
          </w:p>
        </w:tc>
      </w:tr>
    </w:tbl>
    <w:p>
      <w:pPr>
        <w:spacing w:after="0"/>
      </w:pPr>
    </w:p>
    <w:p>
      <w:pPr>
        <w:pStyle w:val="Heading2"/>
        <w:keepNext/>
      </w:pPr>
      <w:r>
        <w:t>27.3 Final Set 25 Closure Conditions</w:t>
      </w:r>
    </w:p>
    <w:p>
      <w:pPr>
        <w:widowControl/>
      </w:pPr>
      <w:r>
        <w:rPr>
          <w:rFonts w:ascii="Liberation Sans" w:hAnsi="Liberation Sans"/>
          <w:b w:val="0"/>
          <w:i w:val="0"/>
          <w:color w:val="202E3E"/>
          <w:sz w:val="18"/>
        </w:rPr>
        <w:t>Final Set 25 integration closure requires all of the following:</w:t>
      </w:r>
    </w:p>
    <w:p>
      <w:pPr>
        <w:pStyle w:val="Compact"/>
        <w:ind w:left="245" w:hanging="202"/>
      </w:pPr>
      <w:r>
        <w:rPr>
          <w:rFonts w:ascii="Liberation Sans" w:hAnsi="Liberation Sans"/>
          <w:b w:val="0"/>
          <w:i w:val="0"/>
          <w:color w:val="202E3E"/>
          <w:sz w:val="17"/>
        </w:rPr>
        <w:t>• Document 25B remains compatible with the approved Set 26 identity and reference needs.</w:t>
      </w:r>
    </w:p>
    <w:p>
      <w:pPr>
        <w:pStyle w:val="Compact"/>
        <w:ind w:left="245" w:hanging="202"/>
      </w:pPr>
      <w:r>
        <w:rPr>
          <w:rFonts w:ascii="Liberation Sans" w:hAnsi="Liberation Sans"/>
          <w:b w:val="0"/>
          <w:i w:val="0"/>
          <w:color w:val="202E3E"/>
          <w:sz w:val="17"/>
        </w:rPr>
        <w:t>• Applicable 25C-25E extension, package, migration and validation contracts are adopted.</w:t>
      </w:r>
    </w:p>
    <w:p>
      <w:pPr>
        <w:pStyle w:val="Compact"/>
        <w:ind w:left="245" w:hanging="202"/>
      </w:pPr>
      <w:r>
        <w:rPr>
          <w:rFonts w:ascii="Liberation Sans" w:hAnsi="Liberation Sans"/>
          <w:b w:val="0"/>
          <w:i w:val="0"/>
          <w:color w:val="202E3E"/>
          <w:sz w:val="17"/>
        </w:rPr>
        <w:t>• Every approved Set 26 output is linked to its consuming main document, registry, Forge record or technical plan.</w:t>
      </w:r>
    </w:p>
    <w:p>
      <w:pPr>
        <w:pStyle w:val="Compact"/>
        <w:ind w:left="245" w:hanging="202"/>
      </w:pPr>
      <w:r>
        <w:rPr>
          <w:rFonts w:ascii="Liberation Sans" w:hAnsi="Liberation Sans"/>
          <w:b w:val="0"/>
          <w:i w:val="0"/>
          <w:color w:val="202E3E"/>
          <w:sz w:val="17"/>
        </w:rPr>
        <w:t>• Required, optional and deferred maritime packages are classified with safe absence behaviour.</w:t>
      </w:r>
    </w:p>
    <w:p>
      <w:pPr>
        <w:pStyle w:val="Compact"/>
        <w:ind w:left="245" w:hanging="202"/>
      </w:pPr>
      <w:r>
        <w:rPr>
          <w:rFonts w:ascii="Liberation Sans" w:hAnsi="Liberation Sans"/>
          <w:b w:val="0"/>
          <w:i w:val="0"/>
          <w:color w:val="202E3E"/>
          <w:sz w:val="17"/>
        </w:rPr>
        <w:t>• Selected maritime physical content is incorporated only through its canonical Blocks, Items, Recipes, Resources and other owners.</w:t>
      </w:r>
    </w:p>
    <w:p>
      <w:pPr>
        <w:pStyle w:val="Compact"/>
        <w:ind w:left="245" w:hanging="202"/>
      </w:pPr>
      <w:r>
        <w:rPr>
          <w:rFonts w:ascii="Liberation Sans" w:hAnsi="Liberation Sans"/>
          <w:b w:val="0"/>
          <w:i w:val="0"/>
          <w:color w:val="202E3E"/>
          <w:sz w:val="17"/>
        </w:rPr>
        <w:t>• Save, migration, removal, multiplayer authority, LOD and performance obligations have evidence or an approved deferral.</w:t>
      </w:r>
    </w:p>
    <w:p>
      <w:pPr>
        <w:pStyle w:val="Compact"/>
        <w:ind w:left="245" w:hanging="202"/>
      </w:pPr>
      <w:r>
        <w:rPr>
          <w:rFonts w:ascii="Liberation Sans" w:hAnsi="Liberation Sans"/>
          <w:b w:val="0"/>
          <w:i w:val="0"/>
          <w:color w:val="202E3E"/>
          <w:sz w:val="17"/>
        </w:rPr>
        <w:t>• 25L reports no unowned blocker-level integration debt and records all remaining non-blocking deferrals.</w:t>
      </w:r>
    </w:p>
    <w:p>
      <w:pPr>
        <w:pStyle w:val="Compact"/>
        <w:ind w:left="245" w:hanging="202"/>
      </w:pPr>
      <w:r>
        <w:rPr>
          <w:rFonts w:ascii="Liberation Sans" w:hAnsi="Liberation Sans"/>
          <w:b w:val="0"/>
          <w:i w:val="0"/>
          <w:color w:val="202E3E"/>
          <w:sz w:val="17"/>
        </w:rPr>
        <w:t>• Ash approves the final closure revision.</w:t>
      </w:r>
    </w:p>
    <w:p>
      <w:pPr>
        <w:widowControl/>
      </w:pPr>
      <w:r>
        <w:rPr>
          <w:rFonts w:ascii="Liberation Sans" w:hAnsi="Liberation Sans"/>
          <w:b w:val="0"/>
          <w:i w:val="0"/>
          <w:color w:val="202E3E"/>
          <w:sz w:val="18"/>
        </w:rPr>
        <w:t>A draft backlog or interim audit may be prepared before this point, but it must not be labelled final Set 25 closure.</w:t>
      </w:r>
    </w:p>
    <w:p>
      <w:pPr>
        <w:pStyle w:val="Heading1"/>
        <w:keepNext/>
      </w:pPr>
      <w:r>
        <w:t>28. AI-Assisted Production and Human Authority</w:t>
      </w:r>
    </w:p>
    <w:tbl>
      <w:tblPr>
        <w:tblStyle w:val="TableGrid"/>
        <w:tblW w:type="auto" w:w="0"/>
        <w:jc w:val="center"/>
        <w:tblLayout w:type="fixed"/>
        <w:tblLook w:firstColumn="1" w:firstRow="1" w:lastColumn="0" w:lastRow="0" w:noHBand="0" w:noVBand="1" w:val="04A0"/>
      </w:tblPr>
      <w:tblGrid>
        <w:gridCol w:w="3277"/>
        <w:gridCol w:w="3277"/>
        <w:gridCol w:w="3277"/>
      </w:tblGrid>
      <w:tr>
        <w:trPr>
          <w:tblHeader w:val="true"/>
          <w:cantSplit w:val="true"/>
        </w:trPr>
        <w:tc>
          <w:tcPr>
            <w:tcW w:type="dxa" w:w="2304"/>
            <w:shd w:fill="1F4E78"/>
            <w:tcMar>
              <w:top w:w="55" w:type="dxa"/>
              <w:start w:w="70" w:type="dxa"/>
              <w:bottom w:w="55" w:type="dxa"/>
              <w:end w:w="70" w:type="dxa"/>
            </w:tcMar>
            <w:vAlign w:val="center"/>
          </w:tcPr>
          <w:p>
            <w:pPr>
              <w:spacing w:after="0"/>
            </w:pPr>
            <w:r/>
            <w:r>
              <w:rPr>
                <w:rFonts w:ascii="Liberation Sans" w:hAnsi="Liberation Sans"/>
                <w:b/>
                <w:i w:val="0"/>
                <w:color w:val="FFFFFF"/>
                <w:sz w:val="16"/>
              </w:rPr>
              <w:t>AI/Tool Role</w:t>
            </w:r>
          </w:p>
        </w:tc>
        <w:tc>
          <w:tcPr>
            <w:tcW w:type="dxa" w:w="3528"/>
            <w:shd w:fill="1F4E78"/>
            <w:tcMar>
              <w:top w:w="55" w:type="dxa"/>
              <w:start w:w="70" w:type="dxa"/>
              <w:bottom w:w="55" w:type="dxa"/>
              <w:end w:w="70" w:type="dxa"/>
            </w:tcMar>
            <w:vAlign w:val="center"/>
          </w:tcPr>
          <w:p>
            <w:pPr>
              <w:spacing w:after="0"/>
            </w:pPr>
            <w:r/>
            <w:r>
              <w:rPr>
                <w:rFonts w:ascii="Liberation Sans" w:hAnsi="Liberation Sans"/>
                <w:b/>
                <w:i w:val="0"/>
                <w:color w:val="FFFFFF"/>
                <w:sz w:val="16"/>
              </w:rPr>
              <w:t>Allowed Contribution</w:t>
            </w:r>
          </w:p>
        </w:tc>
        <w:tc>
          <w:tcPr>
            <w:tcW w:type="dxa" w:w="3816"/>
            <w:shd w:fill="1F4E78"/>
            <w:tcMar>
              <w:top w:w="55" w:type="dxa"/>
              <w:start w:w="70" w:type="dxa"/>
              <w:bottom w:w="55" w:type="dxa"/>
              <w:end w:w="70" w:type="dxa"/>
            </w:tcMar>
            <w:vAlign w:val="center"/>
          </w:tcPr>
          <w:p>
            <w:pPr>
              <w:spacing w:after="0"/>
            </w:pPr>
            <w:r/>
            <w:r>
              <w:rPr>
                <w:rFonts w:ascii="Liberation Sans" w:hAnsi="Liberation Sans"/>
                <w:b/>
                <w:i w:val="0"/>
                <w:color w:val="FFFFFF"/>
                <w:sz w:val="16"/>
              </w:rPr>
              <w:t>Human Control</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Research and Review</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Search source documents, compare rules, identify gaps and generate traceable summaries.</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Human confirms interpretation and resolves contradictions.</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Documentation</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Draft schemas, matrices, manifests, revision packs and task specifications from approved sources.</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Human approves canon, scope and final wording.</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Data Authoring</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Generate candidate rows, variants, links and validation fixtures inside approved schemas.</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Validators and human review required before Data Ready.</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Implementation</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Draft bounded Godot code, importers, editor tools, tests and migrations.</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Code review, architecture, security and performance authority remain human.</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Asset Assistance</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Generate or transform candidate textures, models, sounds, effects or icons under the provenance policy.</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Licensing, style, representation and release approval remain human.</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Validation</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Run scans, seed batches, graph checks and reports; propose fixes.</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AI may not waive a failed gate or approve its own unsupported link.</w:t>
            </w:r>
          </w:p>
        </w:tc>
      </w:tr>
    </w:tbl>
    <w:p>
      <w:pPr>
        <w:spacing w:after="0"/>
      </w:pPr>
    </w:p>
    <w:tbl>
      <w:tblPr>
        <w:tblW w:type="auto" w:w="0"/>
        <w:jc w:val="center"/>
        <w:tblLayout w:type="fixed"/>
        <w:tblLook w:firstColumn="1" w:firstRow="1" w:lastColumn="0" w:lastRow="0" w:noHBand="0" w:noVBand="1" w:val="04A0"/>
      </w:tblPr>
      <w:tblGrid>
        <w:gridCol w:w="9831"/>
      </w:tblGrid>
      <w:tr>
        <w:tc>
          <w:tcPr>
            <w:tcW w:type="dxa" w:w="9648"/>
            <w:tcMar>
              <w:top w:w="75" w:type="dxa"/>
              <w:start w:w="90" w:type="dxa"/>
              <w:bottom w:w="75" w:type="dxa"/>
              <w:end w:w="90" w:type="dxa"/>
            </w:tcMar>
            <w:shd w:fill="1F4E78"/>
          </w:tcPr>
          <w:p>
            <w:r/>
            <w:r>
              <w:rPr>
                <w:rFonts w:ascii="Liberation Sans" w:hAnsi="Liberation Sans"/>
                <w:b/>
                <w:i w:val="0"/>
                <w:color w:val="FFFFFF"/>
                <w:sz w:val="18"/>
              </w:rPr>
              <w:t>Final Authority</w:t>
            </w:r>
          </w:p>
        </w:tc>
      </w:tr>
      <w:tr>
        <w:tc>
          <w:tcPr>
            <w:tcW w:type="dxa" w:w="9648"/>
            <w:tcMar>
              <w:top w:w="75" w:type="dxa"/>
              <w:start w:w="90" w:type="dxa"/>
              <w:bottom w:w="75" w:type="dxa"/>
              <w:end w:w="90" w:type="dxa"/>
            </w:tcMar>
            <w:shd w:fill="DCE6F1"/>
          </w:tcPr>
          <w:p>
            <w:r/>
            <w:r>
              <w:rPr>
                <w:rFonts w:ascii="Liberation Sans" w:hAnsi="Liberation Sans"/>
                <w:b w:val="0"/>
                <w:i w:val="0"/>
                <w:color w:val="202E3E"/>
                <w:sz w:val="17"/>
              </w:rPr>
              <w:t>Ash retains final authority over scope, canon, major design choices, representation/personhood, licensing, milestone classification and release. AI recommendations are not self-approving decisions.</w:t>
            </w:r>
          </w:p>
        </w:tc>
      </w:tr>
    </w:tbl>
    <w:p>
      <w:pPr>
        <w:spacing w:after="0"/>
      </w:pPr>
    </w:p>
    <w:p>
      <w:pPr>
        <w:pStyle w:val="Heading1"/>
        <w:keepNext/>
      </w:pPr>
      <w:r>
        <w:t>29. Immediate Post-25A Action Sequence</w:t>
      </w:r>
    </w:p>
    <w:p>
      <w:pPr>
        <w:pStyle w:val="Compact"/>
        <w:ind w:left="331" w:hanging="288"/>
      </w:pPr>
      <w:r>
        <w:rPr>
          <w:rFonts w:ascii="Liberation Sans" w:hAnsi="Liberation Sans"/>
          <w:b w:val="0"/>
          <w:i w:val="0"/>
          <w:color w:val="202E3E"/>
          <w:sz w:val="17"/>
        </w:rPr>
        <w:t>1. Approve Document 25A v0.2 as the controlled maritime-integration governance baseline or record required amendments.</w:t>
      </w:r>
    </w:p>
    <w:p>
      <w:pPr>
        <w:pStyle w:val="Compact"/>
        <w:ind w:left="331" w:hanging="288"/>
      </w:pPr>
      <w:r>
        <w:rPr>
          <w:rFonts w:ascii="Liberation Sans" w:hAnsi="Liberation Sans"/>
          <w:b w:val="0"/>
          <w:i w:val="0"/>
          <w:color w:val="202E3E"/>
          <w:sz w:val="17"/>
        </w:rPr>
        <w:t xml:space="preserve">2. Review and amend </w:t>
      </w:r>
      <w:r>
        <w:rPr>
          <w:rFonts w:ascii="Liberation Sans" w:hAnsi="Liberation Sans"/>
          <w:b/>
          <w:i w:val="0"/>
          <w:color w:val="202E3E"/>
          <w:sz w:val="17"/>
        </w:rPr>
        <w:t>25B - Canonical Registry Kernel, Stable IDs, Namespaces and Source-of-Truth Ownership</w:t>
      </w:r>
      <w:r>
        <w:rPr>
          <w:rFonts w:ascii="Liberation Sans" w:hAnsi="Liberation Sans"/>
          <w:b w:val="0"/>
          <w:i w:val="0"/>
          <w:color w:val="202E3E"/>
          <w:sz w:val="17"/>
        </w:rPr>
        <w:t xml:space="preserve"> to v0.2 without designing the maritime system.</w:t>
      </w:r>
    </w:p>
    <w:p>
      <w:pPr>
        <w:pStyle w:val="Compact"/>
        <w:ind w:left="331" w:hanging="288"/>
      </w:pPr>
      <w:r>
        <w:rPr>
          <w:rFonts w:ascii="Liberation Sans" w:hAnsi="Liberation Sans"/>
          <w:b w:val="0"/>
          <w:i w:val="0"/>
          <w:color w:val="202E3E"/>
          <w:sz w:val="17"/>
        </w:rPr>
        <w:t>3. After 25B approval, create 25C-25E with general expansion schemas, pack admission, migration, cross-pack validation and safe absence/removal rules.</w:t>
      </w:r>
    </w:p>
    <w:p>
      <w:pPr>
        <w:pStyle w:val="Compact"/>
        <w:ind w:left="331" w:hanging="288"/>
      </w:pPr>
      <w:r>
        <w:rPr>
          <w:rFonts w:ascii="Liberation Sans" w:hAnsi="Liberation Sans"/>
          <w:b w:val="0"/>
          <w:i w:val="0"/>
          <w:color w:val="202E3E"/>
          <w:sz w:val="17"/>
        </w:rPr>
        <w:t>4. Document Set 26 may progress in parallel from 26A and early non-registry-heavy design, while respecting the current Set 25 gate.</w:t>
      </w:r>
    </w:p>
    <w:p>
      <w:pPr>
        <w:pStyle w:val="Compact"/>
        <w:ind w:left="331" w:hanging="288"/>
      </w:pPr>
      <w:r>
        <w:rPr>
          <w:rFonts w:ascii="Liberation Sans" w:hAnsi="Liberation Sans"/>
          <w:b w:val="0"/>
          <w:i w:val="0"/>
          <w:color w:val="202E3E"/>
          <w:sz w:val="17"/>
        </w:rPr>
        <w:t>5. Create 25F-25G and classify Core Production plus any required/optional Set 26 dependencies; do not treat the Set 26 programme name as a shipping-tier decision.</w:t>
      </w:r>
    </w:p>
    <w:p>
      <w:pPr>
        <w:pStyle w:val="Compact"/>
        <w:ind w:left="331" w:hanging="288"/>
      </w:pPr>
      <w:r>
        <w:rPr>
          <w:rFonts w:ascii="Liberation Sans" w:hAnsi="Liberation Sans"/>
          <w:b w:val="0"/>
          <w:i w:val="0"/>
          <w:color w:val="202E3E"/>
          <w:sz w:val="17"/>
        </w:rPr>
        <w:t>6. Rewrite Document 18 for Godot/Summer Engine with validated extension points, then apply non-maritime POC cleanup and revision packs.</w:t>
      </w:r>
    </w:p>
    <w:p>
      <w:pPr>
        <w:pStyle w:val="Compact"/>
        <w:ind w:left="331" w:hanging="288"/>
      </w:pPr>
      <w:r>
        <w:rPr>
          <w:rFonts w:ascii="Liberation Sans" w:hAnsi="Liberation Sans"/>
          <w:b w:val="0"/>
          <w:i w:val="0"/>
          <w:color w:val="202E3E"/>
          <w:sz w:val="17"/>
        </w:rPr>
        <w:t>7. Create 25H-25J for the approved Core physical backlog. Maritime-specific entries wait for the authoritative Set 26N handoff and relevant preceding Set 26 contracts.</w:t>
      </w:r>
    </w:p>
    <w:p>
      <w:pPr>
        <w:pStyle w:val="Compact"/>
        <w:ind w:left="331" w:hanging="288"/>
      </w:pPr>
      <w:r>
        <w:rPr>
          <w:rFonts w:ascii="Liberation Sans" w:hAnsi="Liberation Sans"/>
          <w:b w:val="0"/>
          <w:i w:val="0"/>
          <w:color w:val="202E3E"/>
          <w:sz w:val="17"/>
        </w:rPr>
        <w:t>8. Create 25K as the universal asset/manifest admission contract; consume Vessel Forge and maritime asset requirements only after Set 26 specifies them.</w:t>
      </w:r>
    </w:p>
    <w:p>
      <w:pPr>
        <w:pStyle w:val="Compact"/>
        <w:ind w:left="331" w:hanging="288"/>
      </w:pPr>
      <w:r>
        <w:rPr>
          <w:rFonts w:ascii="Liberation Sans" w:hAnsi="Liberation Sans"/>
          <w:b w:val="0"/>
          <w:i w:val="0"/>
          <w:color w:val="202E3E"/>
          <w:sz w:val="17"/>
        </w:rPr>
        <w:t>9. Prepare 25L implementation-backlog structure when useful, but delay its final integration-closure revision until Set 26 is complete or sufficiently locked.</w:t>
      </w:r>
    </w:p>
    <w:p>
      <w:pPr>
        <w:pStyle w:val="Compact"/>
        <w:ind w:left="331" w:hanging="288"/>
      </w:pPr>
      <w:r>
        <w:rPr>
          <w:rFonts w:ascii="Liberation Sans" w:hAnsi="Liberation Sans"/>
          <w:b w:val="0"/>
          <w:i w:val="0"/>
          <w:color w:val="202E3E"/>
          <w:sz w:val="17"/>
        </w:rPr>
        <w:t>10. Begin bounded implementation tasks only when their own source, dependency, validation and rollback gates pass; the whole Set 26 programme need not be finished for unrelated implementation to proceed.</w:t>
      </w:r>
    </w:p>
    <w:p>
      <w:pPr>
        <w:pStyle w:val="Heading1"/>
        <w:keepNext/>
      </w:pPr>
      <w:r>
        <w:t>30. Open Decisions for Later Set 25 Documents</w:t>
      </w:r>
    </w:p>
    <w:tbl>
      <w:tblPr>
        <w:tblStyle w:val="TableGrid"/>
        <w:tblW w:type="auto" w:w="0"/>
        <w:jc w:val="center"/>
        <w:tblLayout w:type="fixed"/>
        <w:tblLook w:firstColumn="1" w:firstRow="1" w:lastColumn="0" w:lastRow="0" w:noHBand="0" w:noVBand="1" w:val="04A0"/>
      </w:tblPr>
      <w:tblGrid>
        <w:gridCol w:w="3277"/>
        <w:gridCol w:w="3277"/>
        <w:gridCol w:w="3277"/>
      </w:tblGrid>
      <w:tr>
        <w:trPr>
          <w:tblHeader w:val="true"/>
          <w:cantSplit w:val="true"/>
        </w:trPr>
        <w:tc>
          <w:tcPr>
            <w:tcW w:type="dxa" w:w="2304"/>
            <w:shd w:fill="1F4E78"/>
            <w:tcMar>
              <w:top w:w="55" w:type="dxa"/>
              <w:start w:w="70" w:type="dxa"/>
              <w:bottom w:w="55" w:type="dxa"/>
              <w:end w:w="70" w:type="dxa"/>
            </w:tcMar>
            <w:vAlign w:val="center"/>
          </w:tcPr>
          <w:p>
            <w:pPr>
              <w:spacing w:after="0"/>
            </w:pPr>
            <w:r/>
            <w:r>
              <w:rPr>
                <w:rFonts w:ascii="Liberation Sans" w:hAnsi="Liberation Sans"/>
                <w:b/>
                <w:i w:val="0"/>
                <w:color w:val="FFFFFF"/>
                <w:sz w:val="16"/>
              </w:rPr>
              <w:t>Decision</w:t>
            </w:r>
          </w:p>
        </w:tc>
        <w:tc>
          <w:tcPr>
            <w:tcW w:type="dxa" w:w="3528"/>
            <w:shd w:fill="1F4E78"/>
            <w:tcMar>
              <w:top w:w="55" w:type="dxa"/>
              <w:start w:w="70" w:type="dxa"/>
              <w:bottom w:w="55" w:type="dxa"/>
              <w:end w:w="70" w:type="dxa"/>
            </w:tcMar>
            <w:vAlign w:val="center"/>
          </w:tcPr>
          <w:p>
            <w:pPr>
              <w:spacing w:after="0"/>
            </w:pPr>
            <w:r/>
            <w:r>
              <w:rPr>
                <w:rFonts w:ascii="Liberation Sans" w:hAnsi="Liberation Sans"/>
                <w:b/>
                <w:i w:val="0"/>
                <w:color w:val="FFFFFF"/>
                <w:sz w:val="16"/>
              </w:rPr>
              <w:t>Owner Document</w:t>
            </w:r>
          </w:p>
        </w:tc>
        <w:tc>
          <w:tcPr>
            <w:tcW w:type="dxa" w:w="3816"/>
            <w:shd w:fill="1F4E78"/>
            <w:tcMar>
              <w:top w:w="55" w:type="dxa"/>
              <w:start w:w="70" w:type="dxa"/>
              <w:bottom w:w="55" w:type="dxa"/>
              <w:end w:w="70" w:type="dxa"/>
            </w:tcMar>
            <w:vAlign w:val="center"/>
          </w:tcPr>
          <w:p>
            <w:pPr>
              <w:spacing w:after="0"/>
            </w:pPr>
            <w:r/>
            <w:r>
              <w:rPr>
                <w:rFonts w:ascii="Liberation Sans" w:hAnsi="Liberation Sans"/>
                <w:b/>
                <w:i w:val="0"/>
                <w:color w:val="FFFFFF"/>
                <w:sz w:val="16"/>
              </w:rPr>
              <w:t>Current Status</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Exact stable-ID and namespace grammar.</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25B</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Pending; must precede registry expansion.</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Canonical authoring source: spreadsheets, JSON, YAML, Godot Resources and Forge boundaries.</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25D</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Pending.</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Exact relationship and capability type libraries.</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25C</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Pending.</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Core Production Atlas foundations and first playable dimension.</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25F</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Pending.</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Second realm teaser inclusion.</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25F</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Pending.</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Canonical settlement-stage taxonomy and survival defaults.</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Revision Pack 25A / 25F</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Pending.</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Capability bands and Bronze/Mana placement in progression.</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25G/25J and Document 06 replacement</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Pending.</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Item rarity, quality, scarcity and provenance semantics.</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25I/25J and Document 04 replacement</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Pending.</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Windows hardware, frame, memory, chunk, simulation and save budgets.</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Document 18 replacement / 25E</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Pending.</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Playable multiplayer scope for Core Production.</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Document 18 replacement / 25F</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Pending; multiplayer-ready authority remains required.</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Initial public modding scope.</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25D / Document 18 replacement</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Pending.</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AI-assisted asset/code provenance and licensing policy.</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25K</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Pending.</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Whether Set 26 ships as base-game content, an optional official expansion pack, a staged milestone, or a mixture of package types.</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25D/25F/26A</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Pending; programme approval does not decide packaging.</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Which maritime packages, if any, are required for Core Production versus Early Access, Full Release, Later Expansion or Tooling Research.</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25F/26A</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Pending.</w:t>
            </w:r>
          </w:p>
        </w:tc>
      </w:tr>
      <w:tr>
        <w:trPr>
          <w:cantSplit w:val="true"/>
        </w:trPr>
        <w:tc>
          <w:tcPr>
            <w:tcW w:type="dxa" w:w="2304"/>
            <w:tcMar>
              <w:top w:w="55" w:type="dxa"/>
              <w:start w:w="70" w:type="dxa"/>
              <w:bottom w:w="55" w:type="dxa"/>
              <w:end w:w="70" w:type="dxa"/>
            </w:tcMar>
            <w:vAlign w:val="top"/>
          </w:tcPr>
          <w:p>
            <w:pPr>
              <w:spacing w:after="0"/>
            </w:pPr>
            <w:r/>
            <w:r>
              <w:rPr>
                <w:rFonts w:ascii="Liberation Sans" w:hAnsi="Liberation Sans"/>
                <w:b w:val="0"/>
                <w:i w:val="0"/>
                <w:color w:val="202E3E"/>
                <w:sz w:val="15"/>
              </w:rPr>
              <w:t>Exact threshold for Set 26 being sufficiently locked for final 25L closure.</w:t>
            </w:r>
          </w:p>
        </w:tc>
        <w:tc>
          <w:tcPr>
            <w:tcW w:type="dxa" w:w="3528"/>
            <w:tcMar>
              <w:top w:w="55" w:type="dxa"/>
              <w:start w:w="70" w:type="dxa"/>
              <w:bottom w:w="55" w:type="dxa"/>
              <w:end w:w="70" w:type="dxa"/>
            </w:tcMar>
            <w:vAlign w:val="top"/>
          </w:tcPr>
          <w:p>
            <w:pPr>
              <w:spacing w:after="0"/>
            </w:pPr>
            <w:r/>
            <w:r>
              <w:rPr>
                <w:rFonts w:ascii="Liberation Sans" w:hAnsi="Liberation Sans"/>
                <w:b w:val="0"/>
                <w:i w:val="0"/>
                <w:color w:val="202E3E"/>
                <w:sz w:val="15"/>
              </w:rPr>
              <w:t>25L/26O</w:t>
            </w:r>
          </w:p>
        </w:tc>
        <w:tc>
          <w:tcPr>
            <w:tcW w:type="dxa" w:w="3816"/>
            <w:tcMar>
              <w:top w:w="55" w:type="dxa"/>
              <w:start w:w="70" w:type="dxa"/>
              <w:bottom w:w="55" w:type="dxa"/>
              <w:end w:w="70" w:type="dxa"/>
            </w:tcMar>
            <w:vAlign w:val="top"/>
          </w:tcPr>
          <w:p>
            <w:pPr>
              <w:spacing w:after="0"/>
            </w:pPr>
            <w:r/>
            <w:r>
              <w:rPr>
                <w:rFonts w:ascii="Liberation Sans" w:hAnsi="Liberation Sans"/>
                <w:b w:val="0"/>
                <w:i w:val="0"/>
                <w:color w:val="202E3E"/>
                <w:sz w:val="15"/>
              </w:rPr>
              <w:t>Recommended: all selected packages Specified, downstream amendment map approved, and blocker-level technical risks resolved.</w:t>
            </w:r>
          </w:p>
        </w:tc>
      </w:tr>
      <w:tr>
        <w:trPr>
          <w:cantSplit w:val="true"/>
        </w:trPr>
        <w:tc>
          <w:tcPr>
            <w:tcW w:type="dxa" w:w="2304"/>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Exact maritime domain extensions, local/world-space record forms and technical state owners.</w:t>
            </w:r>
          </w:p>
        </w:tc>
        <w:tc>
          <w:tcPr>
            <w:tcW w:type="dxa" w:w="35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25B v0.2/25C/26F-26O</w:t>
            </w:r>
          </w:p>
        </w:tc>
        <w:tc>
          <w:tcPr>
            <w:tcW w:type="dxa" w:w="381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Pending detailed design; must not be invented in 25A.</w:t>
            </w:r>
          </w:p>
        </w:tc>
      </w:tr>
    </w:tbl>
    <w:p>
      <w:pPr>
        <w:spacing w:after="0"/>
      </w:pPr>
    </w:p>
    <w:p>
      <w:pPr>
        <w:pStyle w:val="Heading1"/>
        <w:keepNext/>
      </w:pPr>
      <w:r>
        <w:t>Appendix A. POC Retirement Inventory Template</w:t>
      </w:r>
    </w:p>
    <w:tbl>
      <w:tblPr>
        <w:tblStyle w:val="TableGrid"/>
        <w:tblW w:type="auto" w:w="0"/>
        <w:jc w:val="center"/>
        <w:tblLayout w:type="fixed"/>
        <w:tblLook w:firstColumn="1" w:firstRow="1" w:lastColumn="0" w:lastRow="0" w:noHBand="0" w:noVBand="1" w:val="04A0"/>
      </w:tblPr>
      <w:tblGrid>
        <w:gridCol w:w="4915"/>
        <w:gridCol w:w="4915"/>
      </w:tblGrid>
      <w:tr>
        <w:trPr>
          <w:tblHeader w:val="true"/>
          <w:cantSplit w:val="true"/>
        </w:trPr>
        <w:tc>
          <w:tcPr>
            <w:tcW w:type="dxa" w:w="2520"/>
            <w:shd w:fill="1F4E78"/>
            <w:tcMar>
              <w:top w:w="55" w:type="dxa"/>
              <w:start w:w="70" w:type="dxa"/>
              <w:bottom w:w="55" w:type="dxa"/>
              <w:end w:w="70" w:type="dxa"/>
            </w:tcMar>
            <w:vAlign w:val="center"/>
          </w:tcPr>
          <w:p>
            <w:pPr>
              <w:spacing w:after="0"/>
            </w:pPr>
            <w:r/>
            <w:r>
              <w:rPr>
                <w:rFonts w:ascii="Liberation Sans" w:hAnsi="Liberation Sans"/>
                <w:b/>
                <w:i w:val="0"/>
                <w:color w:val="FFFFFF"/>
                <w:sz w:val="16"/>
              </w:rPr>
              <w:t>Field</w:t>
            </w:r>
          </w:p>
        </w:tc>
        <w:tc>
          <w:tcPr>
            <w:tcW w:type="dxa" w:w="7128"/>
            <w:shd w:fill="1F4E78"/>
            <w:tcMar>
              <w:top w:w="55" w:type="dxa"/>
              <w:start w:w="70" w:type="dxa"/>
              <w:bottom w:w="55" w:type="dxa"/>
              <w:end w:w="70" w:type="dxa"/>
            </w:tcMar>
            <w:vAlign w:val="center"/>
          </w:tcPr>
          <w:p>
            <w:pPr>
              <w:spacing w:after="0"/>
            </w:pPr>
            <w:r/>
            <w:r>
              <w:rPr>
                <w:rFonts w:ascii="Liberation Sans" w:hAnsi="Liberation Sans"/>
                <w:b/>
                <w:i w:val="0"/>
                <w:color w:val="FFFFFF"/>
                <w:sz w:val="16"/>
              </w:rPr>
              <w:t>Description</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Legacy Record ID</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Unique retirement-log identifier.</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Old Name / ID / Path</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Exact POC identity, filename, scene, registry row, localisation key or code symbol.</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Source Location</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Document section, project file, asset path, data file, test or save.</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Classification</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Retired Identity, Reusable Mechanic, Reusable Asset, Regression Fixture, Obsolete Implementation or Historical Documentation.</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Disposition</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Archive, rename/rebind, delete, convert to generic family, preserve as fixture or supersede.</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Replacement</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New stable ID or source document, if one exists.</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Dependency Impact</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Known hard/soft references, fallbacks, tests, assets and saves affected.</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Owner</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Person or system owner responsible for completion.</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Validation Evidence</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Scan result, build test, manifest check, migration test or manual review.</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Status</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Open, In Progress, Verified, Deferred or Blocked.</w:t>
            </w:r>
          </w:p>
        </w:tc>
      </w:tr>
    </w:tbl>
    <w:p>
      <w:pPr>
        <w:spacing w:after="0"/>
      </w:pPr>
    </w:p>
    <w:p>
      <w:pPr>
        <w:pStyle w:val="Heading1"/>
        <w:keepNext/>
      </w:pPr>
      <w:r>
        <w:t>Appendix B. Master Decision Register</w:t>
      </w:r>
    </w:p>
    <w:tbl>
      <w:tblPr>
        <w:tblStyle w:val="TableGrid"/>
        <w:tblW w:type="auto" w:w="0"/>
        <w:jc w:val="center"/>
        <w:tblLayout w:type="fixed"/>
        <w:tblLook w:firstColumn="1" w:firstRow="1" w:lastColumn="0" w:lastRow="0" w:noHBand="0" w:noVBand="1" w:val="04A0"/>
      </w:tblPr>
      <w:tblGrid>
        <w:gridCol w:w="1966"/>
        <w:gridCol w:w="1966"/>
        <w:gridCol w:w="1966"/>
        <w:gridCol w:w="1966"/>
        <w:gridCol w:w="1966"/>
      </w:tblGrid>
      <w:tr>
        <w:trPr>
          <w:tblHeader w:val="true"/>
          <w:cantSplit w:val="true"/>
        </w:trPr>
        <w:tc>
          <w:tcPr>
            <w:tcW w:type="dxa" w:w="1440"/>
            <w:shd w:fill="1F4E78"/>
            <w:tcMar>
              <w:top w:w="55" w:type="dxa"/>
              <w:start w:w="70" w:type="dxa"/>
              <w:bottom w:w="55" w:type="dxa"/>
              <w:end w:w="70" w:type="dxa"/>
            </w:tcMar>
            <w:vAlign w:val="center"/>
          </w:tcPr>
          <w:p>
            <w:pPr>
              <w:spacing w:after="0"/>
            </w:pPr>
            <w:r/>
            <w:r>
              <w:rPr>
                <w:rFonts w:ascii="Liberation Sans" w:hAnsi="Liberation Sans"/>
                <w:b/>
                <w:i w:val="0"/>
                <w:color w:val="FFFFFF"/>
                <w:sz w:val="16"/>
              </w:rPr>
              <w:t>ID</w:t>
            </w:r>
          </w:p>
        </w:tc>
        <w:tc>
          <w:tcPr>
            <w:tcW w:type="dxa" w:w="2376"/>
            <w:shd w:fill="1F4E78"/>
            <w:tcMar>
              <w:top w:w="55" w:type="dxa"/>
              <w:start w:w="70" w:type="dxa"/>
              <w:bottom w:w="55" w:type="dxa"/>
              <w:end w:w="70" w:type="dxa"/>
            </w:tcMar>
            <w:vAlign w:val="center"/>
          </w:tcPr>
          <w:p>
            <w:pPr>
              <w:spacing w:after="0"/>
            </w:pPr>
            <w:r/>
            <w:r>
              <w:rPr>
                <w:rFonts w:ascii="Liberation Sans" w:hAnsi="Liberation Sans"/>
                <w:b/>
                <w:i w:val="0"/>
                <w:color w:val="FFFFFF"/>
                <w:sz w:val="16"/>
              </w:rPr>
              <w:t>Decision</w:t>
            </w:r>
          </w:p>
        </w:tc>
        <w:tc>
          <w:tcPr>
            <w:tcW w:type="dxa" w:w="1800"/>
            <w:shd w:fill="1F4E78"/>
            <w:tcMar>
              <w:top w:w="55" w:type="dxa"/>
              <w:start w:w="70" w:type="dxa"/>
              <w:bottom w:w="55" w:type="dxa"/>
              <w:end w:w="70" w:type="dxa"/>
            </w:tcMar>
            <w:vAlign w:val="center"/>
          </w:tcPr>
          <w:p>
            <w:pPr>
              <w:spacing w:after="0"/>
            </w:pPr>
            <w:r/>
            <w:r>
              <w:rPr>
                <w:rFonts w:ascii="Liberation Sans" w:hAnsi="Liberation Sans"/>
                <w:b/>
                <w:i w:val="0"/>
                <w:color w:val="FFFFFF"/>
                <w:sz w:val="16"/>
              </w:rPr>
              <w:t>Status</w:t>
            </w:r>
          </w:p>
        </w:tc>
        <w:tc>
          <w:tcPr>
            <w:tcW w:type="dxa" w:w="2232"/>
            <w:shd w:fill="1F4E78"/>
            <w:tcMar>
              <w:top w:w="55" w:type="dxa"/>
              <w:start w:w="70" w:type="dxa"/>
              <w:bottom w:w="55" w:type="dxa"/>
              <w:end w:w="70" w:type="dxa"/>
            </w:tcMar>
            <w:vAlign w:val="center"/>
          </w:tcPr>
          <w:p>
            <w:pPr>
              <w:spacing w:after="0"/>
            </w:pPr>
            <w:r/>
            <w:r>
              <w:rPr>
                <w:rFonts w:ascii="Liberation Sans" w:hAnsi="Liberation Sans"/>
                <w:b/>
                <w:i w:val="0"/>
                <w:color w:val="FFFFFF"/>
                <w:sz w:val="16"/>
              </w:rPr>
              <w:t>Authority / Source</w:t>
            </w:r>
          </w:p>
        </w:tc>
        <w:tc>
          <w:tcPr>
            <w:tcW w:type="dxa" w:w="1800"/>
            <w:shd w:fill="1F4E78"/>
            <w:tcMar>
              <w:top w:w="55" w:type="dxa"/>
              <w:start w:w="70" w:type="dxa"/>
              <w:bottom w:w="55" w:type="dxa"/>
              <w:end w:w="70" w:type="dxa"/>
            </w:tcMar>
            <w:vAlign w:val="center"/>
          </w:tcPr>
          <w:p>
            <w:pPr>
              <w:spacing w:after="0"/>
            </w:pPr>
            <w:r/>
            <w:r>
              <w:rPr>
                <w:rFonts w:ascii="Liberation Sans" w:hAnsi="Liberation Sans"/>
                <w:b/>
                <w:i w:val="0"/>
                <w:color w:val="FFFFFF"/>
                <w:sz w:val="16"/>
              </w:rPr>
              <w:t>Blocks</w:t>
            </w:r>
          </w:p>
        </w:tc>
      </w:tr>
      <w:tr>
        <w:trPr>
          <w:cantSplit w:val="true"/>
        </w:trPr>
        <w:tc>
          <w:tcPr>
            <w:tcW w:type="dxa" w:w="1440"/>
            <w:tcMar>
              <w:top w:w="55" w:type="dxa"/>
              <w:start w:w="70" w:type="dxa"/>
              <w:bottom w:w="55" w:type="dxa"/>
              <w:end w:w="70" w:type="dxa"/>
            </w:tcMar>
            <w:vAlign w:val="top"/>
          </w:tcPr>
          <w:p>
            <w:pPr>
              <w:spacing w:after="0"/>
            </w:pPr>
            <w:r/>
            <w:r>
              <w:rPr>
                <w:rFonts w:ascii="Liberation Sans" w:hAnsi="Liberation Sans"/>
                <w:b w:val="0"/>
                <w:i w:val="0"/>
                <w:color w:val="202E3E"/>
                <w:sz w:val="15"/>
              </w:rPr>
              <w:t>DEC-25A-001</w:t>
            </w:r>
          </w:p>
        </w:tc>
        <w:tc>
          <w:tcPr>
            <w:tcW w:type="dxa" w:w="2376"/>
            <w:tcMar>
              <w:top w:w="55" w:type="dxa"/>
              <w:start w:w="70" w:type="dxa"/>
              <w:bottom w:w="55" w:type="dxa"/>
              <w:end w:w="70" w:type="dxa"/>
            </w:tcMar>
            <w:vAlign w:val="top"/>
          </w:tcPr>
          <w:p>
            <w:pPr>
              <w:spacing w:after="0"/>
            </w:pPr>
            <w:r/>
            <w:r>
              <w:rPr>
                <w:rFonts w:ascii="Liberation Sans" w:hAnsi="Liberation Sans"/>
                <w:b w:val="0"/>
                <w:i w:val="0"/>
                <w:color w:val="202E3E"/>
                <w:sz w:val="15"/>
              </w:rPr>
              <w:t>POC is retired from normal production and archived only.</w:t>
            </w:r>
          </w:p>
        </w:tc>
        <w:tc>
          <w:tcPr>
            <w:tcW w:type="dxa" w:w="1800"/>
            <w:tcMar>
              <w:top w:w="55" w:type="dxa"/>
              <w:start w:w="70" w:type="dxa"/>
              <w:bottom w:w="55" w:type="dxa"/>
              <w:end w:w="70" w:type="dxa"/>
            </w:tcMar>
            <w:vAlign w:val="top"/>
          </w:tcPr>
          <w:p>
            <w:pPr>
              <w:spacing w:after="0"/>
            </w:pPr>
            <w:r/>
            <w:r>
              <w:rPr>
                <w:rFonts w:ascii="Liberation Sans" w:hAnsi="Liberation Sans"/>
                <w:b w:val="0"/>
                <w:i w:val="0"/>
                <w:color w:val="202E3E"/>
                <w:sz w:val="15"/>
              </w:rPr>
              <w:t>Locked</w:t>
            </w:r>
          </w:p>
        </w:tc>
        <w:tc>
          <w:tcPr>
            <w:tcW w:type="dxa" w:w="2232"/>
            <w:tcMar>
              <w:top w:w="55" w:type="dxa"/>
              <w:start w:w="70" w:type="dxa"/>
              <w:bottom w:w="55" w:type="dxa"/>
              <w:end w:w="70" w:type="dxa"/>
            </w:tcMar>
            <w:vAlign w:val="top"/>
          </w:tcPr>
          <w:p>
            <w:pPr>
              <w:spacing w:after="0"/>
            </w:pPr>
            <w:r/>
            <w:r>
              <w:rPr>
                <w:rFonts w:ascii="Liberation Sans" w:hAnsi="Liberation Sans"/>
                <w:b w:val="0"/>
                <w:i w:val="0"/>
                <w:color w:val="202E3E"/>
                <w:sz w:val="15"/>
              </w:rPr>
              <w:t>Ash / project direction</w:t>
            </w:r>
          </w:p>
        </w:tc>
        <w:tc>
          <w:tcPr>
            <w:tcW w:type="dxa" w:w="1800"/>
            <w:tcMar>
              <w:top w:w="55" w:type="dxa"/>
              <w:start w:w="70" w:type="dxa"/>
              <w:bottom w:w="55" w:type="dxa"/>
              <w:end w:w="70" w:type="dxa"/>
            </w:tcMar>
            <w:vAlign w:val="top"/>
          </w:tcPr>
          <w:p>
            <w:pPr>
              <w:spacing w:after="0"/>
            </w:pPr>
            <w:r/>
            <w:r>
              <w:rPr>
                <w:rFonts w:ascii="Liberation Sans" w:hAnsi="Liberation Sans"/>
                <w:b w:val="0"/>
                <w:i w:val="0"/>
                <w:color w:val="202E3E"/>
                <w:sz w:val="15"/>
              </w:rPr>
              <w:t>25A</w:t>
            </w:r>
          </w:p>
        </w:tc>
      </w:tr>
      <w:tr>
        <w:trPr>
          <w:cantSplit w:val="true"/>
        </w:trPr>
        <w:tc>
          <w:tcPr>
            <w:tcW w:type="dxa" w:w="144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DEC-25A-002</w:t>
            </w:r>
          </w:p>
        </w:tc>
        <w:tc>
          <w:tcPr>
            <w:tcW w:type="dxa" w:w="237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Production worlds are deterministic and seed-generated without fixed POC regions or relationships.</w:t>
            </w:r>
          </w:p>
        </w:tc>
        <w:tc>
          <w:tcPr>
            <w:tcW w:type="dxa" w:w="180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Locked</w:t>
            </w:r>
          </w:p>
        </w:tc>
        <w:tc>
          <w:tcPr>
            <w:tcW w:type="dxa" w:w="2232"/>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Ash / 24A-24L</w:t>
            </w:r>
          </w:p>
        </w:tc>
        <w:tc>
          <w:tcPr>
            <w:tcW w:type="dxa" w:w="180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25B-25G, Doc 11</w:t>
            </w:r>
          </w:p>
        </w:tc>
      </w:tr>
      <w:tr>
        <w:trPr>
          <w:cantSplit w:val="true"/>
        </w:trPr>
        <w:tc>
          <w:tcPr>
            <w:tcW w:type="dxa" w:w="1440"/>
            <w:tcMar>
              <w:top w:w="55" w:type="dxa"/>
              <w:start w:w="70" w:type="dxa"/>
              <w:bottom w:w="55" w:type="dxa"/>
              <w:end w:w="70" w:type="dxa"/>
            </w:tcMar>
            <w:vAlign w:val="top"/>
          </w:tcPr>
          <w:p>
            <w:pPr>
              <w:spacing w:after="0"/>
            </w:pPr>
            <w:r/>
            <w:r>
              <w:rPr>
                <w:rFonts w:ascii="Liberation Sans" w:hAnsi="Liberation Sans"/>
                <w:b w:val="0"/>
                <w:i w:val="0"/>
                <w:color w:val="202E3E"/>
                <w:sz w:val="15"/>
              </w:rPr>
              <w:t>DEC-25A-003</w:t>
            </w:r>
          </w:p>
        </w:tc>
        <w:tc>
          <w:tcPr>
            <w:tcW w:type="dxa" w:w="2376"/>
            <w:tcMar>
              <w:top w:w="55" w:type="dxa"/>
              <w:start w:w="70" w:type="dxa"/>
              <w:bottom w:w="55" w:type="dxa"/>
              <w:end w:w="70" w:type="dxa"/>
            </w:tcMar>
            <w:vAlign w:val="top"/>
          </w:tcPr>
          <w:p>
            <w:pPr>
              <w:spacing w:after="0"/>
            </w:pPr>
            <w:r/>
            <w:r>
              <w:rPr>
                <w:rFonts w:ascii="Liberation Sans" w:hAnsi="Liberation Sans"/>
                <w:b w:val="0"/>
                <w:i w:val="0"/>
                <w:color w:val="202E3E"/>
                <w:sz w:val="15"/>
              </w:rPr>
              <w:t>Current engine direction is Godot using Summer Engine.</w:t>
            </w:r>
          </w:p>
        </w:tc>
        <w:tc>
          <w:tcPr>
            <w:tcW w:type="dxa" w:w="1800"/>
            <w:tcMar>
              <w:top w:w="55" w:type="dxa"/>
              <w:start w:w="70" w:type="dxa"/>
              <w:bottom w:w="55" w:type="dxa"/>
              <w:end w:w="70" w:type="dxa"/>
            </w:tcMar>
            <w:vAlign w:val="top"/>
          </w:tcPr>
          <w:p>
            <w:pPr>
              <w:spacing w:after="0"/>
            </w:pPr>
            <w:r/>
            <w:r>
              <w:rPr>
                <w:rFonts w:ascii="Liberation Sans" w:hAnsi="Liberation Sans"/>
                <w:b w:val="0"/>
                <w:i w:val="0"/>
                <w:color w:val="202E3E"/>
                <w:sz w:val="15"/>
              </w:rPr>
              <w:t>Locked</w:t>
            </w:r>
          </w:p>
        </w:tc>
        <w:tc>
          <w:tcPr>
            <w:tcW w:type="dxa" w:w="2232"/>
            <w:tcMar>
              <w:top w:w="55" w:type="dxa"/>
              <w:start w:w="70" w:type="dxa"/>
              <w:bottom w:w="55" w:type="dxa"/>
              <w:end w:w="70" w:type="dxa"/>
            </w:tcMar>
            <w:vAlign w:val="top"/>
          </w:tcPr>
          <w:p>
            <w:pPr>
              <w:spacing w:after="0"/>
            </w:pPr>
            <w:r/>
            <w:r>
              <w:rPr>
                <w:rFonts w:ascii="Liberation Sans" w:hAnsi="Liberation Sans"/>
                <w:b w:val="0"/>
                <w:i w:val="0"/>
                <w:color w:val="202E3E"/>
                <w:sz w:val="15"/>
              </w:rPr>
              <w:t>Ash</w:t>
            </w:r>
          </w:p>
        </w:tc>
        <w:tc>
          <w:tcPr>
            <w:tcW w:type="dxa" w:w="1800"/>
            <w:tcMar>
              <w:top w:w="55" w:type="dxa"/>
              <w:start w:w="70" w:type="dxa"/>
              <w:bottom w:w="55" w:type="dxa"/>
              <w:end w:w="70" w:type="dxa"/>
            </w:tcMar>
            <w:vAlign w:val="top"/>
          </w:tcPr>
          <w:p>
            <w:pPr>
              <w:spacing w:after="0"/>
            </w:pPr>
            <w:r/>
            <w:r>
              <w:rPr>
                <w:rFonts w:ascii="Liberation Sans" w:hAnsi="Liberation Sans"/>
                <w:b w:val="0"/>
                <w:i w:val="0"/>
                <w:color w:val="202E3E"/>
                <w:sz w:val="15"/>
              </w:rPr>
              <w:t>Doc 18 replacement</w:t>
            </w:r>
          </w:p>
        </w:tc>
      </w:tr>
      <w:tr>
        <w:trPr>
          <w:cantSplit w:val="true"/>
        </w:trPr>
        <w:tc>
          <w:tcPr>
            <w:tcW w:type="dxa" w:w="144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DEC-25A-004</w:t>
            </w:r>
          </w:p>
        </w:tc>
        <w:tc>
          <w:tcPr>
            <w:tcW w:type="dxa" w:w="237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Atlas owns world context; gameplay registries own executable definitions.</w:t>
            </w:r>
          </w:p>
        </w:tc>
        <w:tc>
          <w:tcPr>
            <w:tcW w:type="dxa" w:w="180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Locked</w:t>
            </w:r>
          </w:p>
        </w:tc>
        <w:tc>
          <w:tcPr>
            <w:tcW w:type="dxa" w:w="2232"/>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Project direction / 24L</w:t>
            </w:r>
          </w:p>
        </w:tc>
        <w:tc>
          <w:tcPr>
            <w:tcW w:type="dxa" w:w="180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25B-25C</w:t>
            </w:r>
          </w:p>
        </w:tc>
      </w:tr>
      <w:tr>
        <w:trPr>
          <w:cantSplit w:val="true"/>
        </w:trPr>
        <w:tc>
          <w:tcPr>
            <w:tcW w:type="dxa" w:w="1440"/>
            <w:tcMar>
              <w:top w:w="55" w:type="dxa"/>
              <w:start w:w="70" w:type="dxa"/>
              <w:bottom w:w="55" w:type="dxa"/>
              <w:end w:w="70" w:type="dxa"/>
            </w:tcMar>
            <w:vAlign w:val="top"/>
          </w:tcPr>
          <w:p>
            <w:pPr>
              <w:spacing w:after="0"/>
            </w:pPr>
            <w:r/>
            <w:r>
              <w:rPr>
                <w:rFonts w:ascii="Liberation Sans" w:hAnsi="Liberation Sans"/>
                <w:b w:val="0"/>
                <w:i w:val="0"/>
                <w:color w:val="202E3E"/>
                <w:sz w:val="15"/>
              </w:rPr>
              <w:t>DEC-25A-005</w:t>
            </w:r>
          </w:p>
        </w:tc>
        <w:tc>
          <w:tcPr>
            <w:tcW w:type="dxa" w:w="2376"/>
            <w:tcMar>
              <w:top w:w="55" w:type="dxa"/>
              <w:start w:w="70" w:type="dxa"/>
              <w:bottom w:w="55" w:type="dxa"/>
              <w:end w:w="70" w:type="dxa"/>
            </w:tcMar>
            <w:vAlign w:val="top"/>
          </w:tcPr>
          <w:p>
            <w:pPr>
              <w:spacing w:after="0"/>
            </w:pPr>
            <w:r/>
            <w:r>
              <w:rPr>
                <w:rFonts w:ascii="Liberation Sans" w:hAnsi="Liberation Sans"/>
                <w:b w:val="0"/>
                <w:i w:val="0"/>
                <w:color w:val="202E3E"/>
                <w:sz w:val="15"/>
              </w:rPr>
              <w:t>Document 24L is the main roadmap authority for the post-Atlas sequence.</w:t>
            </w:r>
          </w:p>
        </w:tc>
        <w:tc>
          <w:tcPr>
            <w:tcW w:type="dxa" w:w="1800"/>
            <w:tcMar>
              <w:top w:w="55" w:type="dxa"/>
              <w:start w:w="70" w:type="dxa"/>
              <w:bottom w:w="55" w:type="dxa"/>
              <w:end w:w="70" w:type="dxa"/>
            </w:tcMar>
            <w:vAlign w:val="top"/>
          </w:tcPr>
          <w:p>
            <w:pPr>
              <w:spacing w:after="0"/>
            </w:pPr>
            <w:r/>
            <w:r>
              <w:rPr>
                <w:rFonts w:ascii="Liberation Sans" w:hAnsi="Liberation Sans"/>
                <w:b w:val="0"/>
                <w:i w:val="0"/>
                <w:color w:val="202E3E"/>
                <w:sz w:val="15"/>
              </w:rPr>
              <w:t>Approved Baseline</w:t>
            </w:r>
          </w:p>
        </w:tc>
        <w:tc>
          <w:tcPr>
            <w:tcW w:type="dxa" w:w="2232"/>
            <w:tcMar>
              <w:top w:w="55" w:type="dxa"/>
              <w:start w:w="70" w:type="dxa"/>
              <w:bottom w:w="55" w:type="dxa"/>
              <w:end w:w="70" w:type="dxa"/>
            </w:tcMar>
            <w:vAlign w:val="top"/>
          </w:tcPr>
          <w:p>
            <w:pPr>
              <w:spacing w:after="0"/>
            </w:pPr>
            <w:r/>
            <w:r>
              <w:rPr>
                <w:rFonts w:ascii="Liberation Sans" w:hAnsi="Liberation Sans"/>
                <w:b w:val="0"/>
                <w:i w:val="0"/>
                <w:color w:val="202E3E"/>
                <w:sz w:val="15"/>
              </w:rPr>
              <w:t>Approved Set 25 programme</w:t>
            </w:r>
          </w:p>
        </w:tc>
        <w:tc>
          <w:tcPr>
            <w:tcW w:type="dxa" w:w="1800"/>
            <w:tcMar>
              <w:top w:w="55" w:type="dxa"/>
              <w:start w:w="70" w:type="dxa"/>
              <w:bottom w:w="55" w:type="dxa"/>
              <w:end w:w="70" w:type="dxa"/>
            </w:tcMar>
            <w:vAlign w:val="top"/>
          </w:tcPr>
          <w:p>
            <w:pPr>
              <w:spacing w:after="0"/>
            </w:pPr>
            <w:r/>
            <w:r>
              <w:rPr>
                <w:rFonts w:ascii="Liberation Sans" w:hAnsi="Liberation Sans"/>
                <w:b w:val="0"/>
                <w:i w:val="0"/>
                <w:color w:val="202E3E"/>
                <w:sz w:val="15"/>
              </w:rPr>
              <w:t>All Set 25</w:t>
            </w:r>
          </w:p>
        </w:tc>
      </w:tr>
      <w:tr>
        <w:trPr>
          <w:cantSplit w:val="true"/>
        </w:trPr>
        <w:tc>
          <w:tcPr>
            <w:tcW w:type="dxa" w:w="144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DEC-25A-006</w:t>
            </w:r>
          </w:p>
        </w:tc>
        <w:tc>
          <w:tcPr>
            <w:tcW w:type="dxa" w:w="237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Use the twelve-state production lifecycle from 24L.</w:t>
            </w:r>
          </w:p>
        </w:tc>
        <w:tc>
          <w:tcPr>
            <w:tcW w:type="dxa" w:w="180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Approved Baseline</w:t>
            </w:r>
          </w:p>
        </w:tc>
        <w:tc>
          <w:tcPr>
            <w:tcW w:type="dxa" w:w="2232"/>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Approved Set 25 programme</w:t>
            </w:r>
          </w:p>
        </w:tc>
        <w:tc>
          <w:tcPr>
            <w:tcW w:type="dxa" w:w="180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25B-25E</w:t>
            </w:r>
          </w:p>
        </w:tc>
      </w:tr>
      <w:tr>
        <w:trPr>
          <w:cantSplit w:val="true"/>
        </w:trPr>
        <w:tc>
          <w:tcPr>
            <w:tcW w:type="dxa" w:w="1440"/>
            <w:tcMar>
              <w:top w:w="55" w:type="dxa"/>
              <w:start w:w="70" w:type="dxa"/>
              <w:bottom w:w="55" w:type="dxa"/>
              <w:end w:w="70" w:type="dxa"/>
            </w:tcMar>
            <w:vAlign w:val="top"/>
          </w:tcPr>
          <w:p>
            <w:pPr>
              <w:spacing w:after="0"/>
            </w:pPr>
            <w:r/>
            <w:r>
              <w:rPr>
                <w:rFonts w:ascii="Liberation Sans" w:hAnsi="Liberation Sans"/>
                <w:b w:val="0"/>
                <w:i w:val="0"/>
                <w:color w:val="202E3E"/>
                <w:sz w:val="15"/>
              </w:rPr>
              <w:t>DEC-25A-007</w:t>
            </w:r>
          </w:p>
        </w:tc>
        <w:tc>
          <w:tcPr>
            <w:tcW w:type="dxa" w:w="2376"/>
            <w:tcMar>
              <w:top w:w="55" w:type="dxa"/>
              <w:start w:w="70" w:type="dxa"/>
              <w:bottom w:w="55" w:type="dxa"/>
              <w:end w:w="70" w:type="dxa"/>
            </w:tcMar>
            <w:vAlign w:val="top"/>
          </w:tcPr>
          <w:p>
            <w:pPr>
              <w:spacing w:after="0"/>
            </w:pPr>
            <w:r/>
            <w:r>
              <w:rPr>
                <w:rFonts w:ascii="Liberation Sans" w:hAnsi="Liberation Sans"/>
                <w:b w:val="0"/>
                <w:i w:val="0"/>
                <w:color w:val="202E3E"/>
                <w:sz w:val="15"/>
              </w:rPr>
              <w:t>Use six production tiers including Archived Validation and Tooling Research.</w:t>
            </w:r>
          </w:p>
        </w:tc>
        <w:tc>
          <w:tcPr>
            <w:tcW w:type="dxa" w:w="1800"/>
            <w:tcMar>
              <w:top w:w="55" w:type="dxa"/>
              <w:start w:w="70" w:type="dxa"/>
              <w:bottom w:w="55" w:type="dxa"/>
              <w:end w:w="70" w:type="dxa"/>
            </w:tcMar>
            <w:vAlign w:val="top"/>
          </w:tcPr>
          <w:p>
            <w:pPr>
              <w:spacing w:after="0"/>
            </w:pPr>
            <w:r/>
            <w:r>
              <w:rPr>
                <w:rFonts w:ascii="Liberation Sans" w:hAnsi="Liberation Sans"/>
                <w:b w:val="0"/>
                <w:i w:val="0"/>
                <w:color w:val="202E3E"/>
                <w:sz w:val="15"/>
              </w:rPr>
              <w:t>Approved Baseline</w:t>
            </w:r>
          </w:p>
        </w:tc>
        <w:tc>
          <w:tcPr>
            <w:tcW w:type="dxa" w:w="2232"/>
            <w:tcMar>
              <w:top w:w="55" w:type="dxa"/>
              <w:start w:w="70" w:type="dxa"/>
              <w:bottom w:w="55" w:type="dxa"/>
              <w:end w:w="70" w:type="dxa"/>
            </w:tcMar>
            <w:vAlign w:val="top"/>
          </w:tcPr>
          <w:p>
            <w:pPr>
              <w:spacing w:after="0"/>
            </w:pPr>
            <w:r/>
            <w:r>
              <w:rPr>
                <w:rFonts w:ascii="Liberation Sans" w:hAnsi="Liberation Sans"/>
                <w:b w:val="0"/>
                <w:i w:val="0"/>
                <w:color w:val="202E3E"/>
                <w:sz w:val="15"/>
              </w:rPr>
              <w:t>Approved Set 25 programme</w:t>
            </w:r>
          </w:p>
        </w:tc>
        <w:tc>
          <w:tcPr>
            <w:tcW w:type="dxa" w:w="1800"/>
            <w:tcMar>
              <w:top w:w="55" w:type="dxa"/>
              <w:start w:w="70" w:type="dxa"/>
              <w:bottom w:w="55" w:type="dxa"/>
              <w:end w:w="70" w:type="dxa"/>
            </w:tcMar>
            <w:vAlign w:val="top"/>
          </w:tcPr>
          <w:p>
            <w:pPr>
              <w:spacing w:after="0"/>
            </w:pPr>
            <w:r/>
            <w:r>
              <w:rPr>
                <w:rFonts w:ascii="Liberation Sans" w:hAnsi="Liberation Sans"/>
                <w:b w:val="0"/>
                <w:i w:val="0"/>
                <w:color w:val="202E3E"/>
                <w:sz w:val="15"/>
              </w:rPr>
              <w:t>25F</w:t>
            </w:r>
          </w:p>
        </w:tc>
      </w:tr>
      <w:tr>
        <w:trPr>
          <w:cantSplit w:val="true"/>
        </w:trPr>
        <w:tc>
          <w:tcPr>
            <w:tcW w:type="dxa" w:w="144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DEC-25A-008</w:t>
            </w:r>
          </w:p>
        </w:tc>
        <w:tc>
          <w:tcPr>
            <w:tcW w:type="dxa" w:w="237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Create a protected non-shipping POC archive/test pack.</w:t>
            </w:r>
          </w:p>
        </w:tc>
        <w:tc>
          <w:tcPr>
            <w:tcW w:type="dxa" w:w="180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Approved Baseline</w:t>
            </w:r>
          </w:p>
        </w:tc>
        <w:tc>
          <w:tcPr>
            <w:tcW w:type="dxa" w:w="2232"/>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25A recommendation</w:t>
            </w:r>
          </w:p>
        </w:tc>
        <w:tc>
          <w:tcPr>
            <w:tcW w:type="dxa" w:w="180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25B,25D,25E</w:t>
            </w:r>
          </w:p>
        </w:tc>
      </w:tr>
      <w:tr>
        <w:trPr>
          <w:cantSplit w:val="true"/>
        </w:trPr>
        <w:tc>
          <w:tcPr>
            <w:tcW w:type="dxa" w:w="1440"/>
            <w:tcMar>
              <w:top w:w="55" w:type="dxa"/>
              <w:start w:w="70" w:type="dxa"/>
              <w:bottom w:w="55" w:type="dxa"/>
              <w:end w:w="70" w:type="dxa"/>
            </w:tcMar>
            <w:vAlign w:val="top"/>
          </w:tcPr>
          <w:p>
            <w:pPr>
              <w:spacing w:after="0"/>
            </w:pPr>
            <w:r/>
            <w:r>
              <w:rPr>
                <w:rFonts w:ascii="Liberation Sans" w:hAnsi="Liberation Sans"/>
                <w:b w:val="0"/>
                <w:i w:val="0"/>
                <w:color w:val="202E3E"/>
                <w:sz w:val="15"/>
              </w:rPr>
              <w:t>DEC-25A-009</w:t>
            </w:r>
          </w:p>
        </w:tc>
        <w:tc>
          <w:tcPr>
            <w:tcW w:type="dxa" w:w="2376"/>
            <w:tcMar>
              <w:top w:w="55" w:type="dxa"/>
              <w:start w:w="70" w:type="dxa"/>
              <w:bottom w:w="55" w:type="dxa"/>
              <w:end w:w="70" w:type="dxa"/>
            </w:tcMar>
            <w:vAlign w:val="top"/>
          </w:tcPr>
          <w:p>
            <w:pPr>
              <w:spacing w:after="0"/>
            </w:pPr>
            <w:r/>
            <w:r>
              <w:rPr>
                <w:rFonts w:ascii="Liberation Sans" w:hAnsi="Liberation Sans"/>
                <w:b w:val="0"/>
                <w:i w:val="0"/>
                <w:color w:val="202E3E"/>
                <w:sz w:val="15"/>
              </w:rPr>
              <w:t>Normal production save compatibility begins after the POC retirement baseline.</w:t>
            </w:r>
          </w:p>
        </w:tc>
        <w:tc>
          <w:tcPr>
            <w:tcW w:type="dxa" w:w="1800"/>
            <w:tcMar>
              <w:top w:w="55" w:type="dxa"/>
              <w:start w:w="70" w:type="dxa"/>
              <w:bottom w:w="55" w:type="dxa"/>
              <w:end w:w="70" w:type="dxa"/>
            </w:tcMar>
            <w:vAlign w:val="top"/>
          </w:tcPr>
          <w:p>
            <w:pPr>
              <w:spacing w:after="0"/>
            </w:pPr>
            <w:r/>
            <w:r>
              <w:rPr>
                <w:rFonts w:ascii="Liberation Sans" w:hAnsi="Liberation Sans"/>
                <w:b w:val="0"/>
                <w:i w:val="0"/>
                <w:color w:val="202E3E"/>
                <w:sz w:val="15"/>
              </w:rPr>
              <w:t>Approved Baseline</w:t>
            </w:r>
          </w:p>
        </w:tc>
        <w:tc>
          <w:tcPr>
            <w:tcW w:type="dxa" w:w="2232"/>
            <w:tcMar>
              <w:top w:w="55" w:type="dxa"/>
              <w:start w:w="70" w:type="dxa"/>
              <w:bottom w:w="55" w:type="dxa"/>
              <w:end w:w="70" w:type="dxa"/>
            </w:tcMar>
            <w:vAlign w:val="top"/>
          </w:tcPr>
          <w:p>
            <w:pPr>
              <w:spacing w:after="0"/>
            </w:pPr>
            <w:r/>
            <w:r>
              <w:rPr>
                <w:rFonts w:ascii="Liberation Sans" w:hAnsi="Liberation Sans"/>
                <w:b w:val="0"/>
                <w:i w:val="0"/>
                <w:color w:val="202E3E"/>
                <w:sz w:val="15"/>
              </w:rPr>
              <w:t>25A recommendation</w:t>
            </w:r>
          </w:p>
        </w:tc>
        <w:tc>
          <w:tcPr>
            <w:tcW w:type="dxa" w:w="1800"/>
            <w:tcMar>
              <w:top w:w="55" w:type="dxa"/>
              <w:start w:w="70" w:type="dxa"/>
              <w:bottom w:w="55" w:type="dxa"/>
              <w:end w:w="70" w:type="dxa"/>
            </w:tcMar>
            <w:vAlign w:val="top"/>
          </w:tcPr>
          <w:p>
            <w:pPr>
              <w:spacing w:after="0"/>
            </w:pPr>
            <w:r/>
            <w:r>
              <w:rPr>
                <w:rFonts w:ascii="Liberation Sans" w:hAnsi="Liberation Sans"/>
                <w:b w:val="0"/>
                <w:i w:val="0"/>
                <w:color w:val="202E3E"/>
                <w:sz w:val="15"/>
              </w:rPr>
              <w:t>25D,Doc 18</w:t>
            </w:r>
          </w:p>
        </w:tc>
      </w:tr>
      <w:tr>
        <w:trPr>
          <w:cantSplit w:val="true"/>
        </w:trPr>
        <w:tc>
          <w:tcPr>
            <w:tcW w:type="dxa" w:w="144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DEC-25A-010</w:t>
            </w:r>
          </w:p>
        </w:tc>
        <w:tc>
          <w:tcPr>
            <w:tcW w:type="dxa" w:w="237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Create Set 25A-25L in the approved order.</w:t>
            </w:r>
          </w:p>
        </w:tc>
        <w:tc>
          <w:tcPr>
            <w:tcW w:type="dxa" w:w="180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Approved Baseline</w:t>
            </w:r>
          </w:p>
        </w:tc>
        <w:tc>
          <w:tcPr>
            <w:tcW w:type="dxa" w:w="2232"/>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Ash approved starting Set 25</w:t>
            </w:r>
          </w:p>
        </w:tc>
        <w:tc>
          <w:tcPr>
            <w:tcW w:type="dxa" w:w="180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All Set 25</w:t>
            </w:r>
          </w:p>
        </w:tc>
      </w:tr>
      <w:tr>
        <w:trPr>
          <w:cantSplit w:val="true"/>
        </w:trPr>
        <w:tc>
          <w:tcPr>
            <w:tcW w:type="dxa" w:w="1440"/>
            <w:tcMar>
              <w:top w:w="55" w:type="dxa"/>
              <w:start w:w="70" w:type="dxa"/>
              <w:bottom w:w="55" w:type="dxa"/>
              <w:end w:w="70" w:type="dxa"/>
            </w:tcMar>
            <w:vAlign w:val="top"/>
          </w:tcPr>
          <w:p>
            <w:pPr>
              <w:spacing w:after="0"/>
            </w:pPr>
            <w:r/>
            <w:r>
              <w:rPr>
                <w:rFonts w:ascii="Liberation Sans" w:hAnsi="Liberation Sans"/>
                <w:b w:val="0"/>
                <w:i w:val="0"/>
                <w:color w:val="202E3E"/>
                <w:sz w:val="15"/>
              </w:rPr>
              <w:t>DEC-25A-011</w:t>
            </w:r>
          </w:p>
        </w:tc>
        <w:tc>
          <w:tcPr>
            <w:tcW w:type="dxa" w:w="2376"/>
            <w:tcMar>
              <w:top w:w="55" w:type="dxa"/>
              <w:start w:w="70" w:type="dxa"/>
              <w:bottom w:w="55" w:type="dxa"/>
              <w:end w:w="70" w:type="dxa"/>
            </w:tcMar>
            <w:vAlign w:val="top"/>
          </w:tcPr>
          <w:p>
            <w:pPr>
              <w:spacing w:after="0"/>
            </w:pPr>
            <w:r/>
            <w:r>
              <w:rPr>
                <w:rFonts w:ascii="Liberation Sans" w:hAnsi="Liberation Sans"/>
                <w:b w:val="0"/>
                <w:i w:val="0"/>
                <w:color w:val="202E3E"/>
                <w:sz w:val="15"/>
              </w:rPr>
              <w:t>Exact stable-ID grammar and source-pack namespace representation.</w:t>
            </w:r>
          </w:p>
        </w:tc>
        <w:tc>
          <w:tcPr>
            <w:tcW w:type="dxa" w:w="1800"/>
            <w:tcMar>
              <w:top w:w="55" w:type="dxa"/>
              <w:start w:w="70" w:type="dxa"/>
              <w:bottom w:w="55" w:type="dxa"/>
              <w:end w:w="70" w:type="dxa"/>
            </w:tcMar>
            <w:vAlign w:val="top"/>
          </w:tcPr>
          <w:p>
            <w:pPr>
              <w:spacing w:after="0"/>
            </w:pPr>
            <w:r/>
            <w:r>
              <w:rPr>
                <w:rFonts w:ascii="Liberation Sans" w:hAnsi="Liberation Sans"/>
                <w:b w:val="0"/>
                <w:i w:val="0"/>
                <w:color w:val="202E3E"/>
                <w:sz w:val="15"/>
              </w:rPr>
              <w:t>Pending Approval</w:t>
            </w:r>
          </w:p>
        </w:tc>
        <w:tc>
          <w:tcPr>
            <w:tcW w:type="dxa" w:w="2232"/>
            <w:tcMar>
              <w:top w:w="55" w:type="dxa"/>
              <w:start w:w="70" w:type="dxa"/>
              <w:bottom w:w="55" w:type="dxa"/>
              <w:end w:w="70" w:type="dxa"/>
            </w:tcMar>
            <w:vAlign w:val="top"/>
          </w:tcPr>
          <w:p>
            <w:pPr>
              <w:spacing w:after="0"/>
            </w:pPr>
            <w:r/>
            <w:r>
              <w:rPr>
                <w:rFonts w:ascii="Liberation Sans" w:hAnsi="Liberation Sans"/>
                <w:b w:val="0"/>
                <w:i w:val="0"/>
                <w:color w:val="202E3E"/>
                <w:sz w:val="15"/>
              </w:rPr>
              <w:t>25B</w:t>
            </w:r>
          </w:p>
        </w:tc>
        <w:tc>
          <w:tcPr>
            <w:tcW w:type="dxa" w:w="1800"/>
            <w:tcMar>
              <w:top w:w="55" w:type="dxa"/>
              <w:start w:w="70" w:type="dxa"/>
              <w:bottom w:w="55" w:type="dxa"/>
              <w:end w:w="70" w:type="dxa"/>
            </w:tcMar>
            <w:vAlign w:val="top"/>
          </w:tcPr>
          <w:p>
            <w:pPr>
              <w:spacing w:after="0"/>
            </w:pPr>
            <w:r/>
            <w:r>
              <w:rPr>
                <w:rFonts w:ascii="Liberation Sans" w:hAnsi="Liberation Sans"/>
                <w:b w:val="0"/>
                <w:i w:val="0"/>
                <w:color w:val="202E3E"/>
                <w:sz w:val="15"/>
              </w:rPr>
              <w:t>Blocks/Items/Recipes</w:t>
            </w:r>
          </w:p>
        </w:tc>
      </w:tr>
      <w:tr>
        <w:trPr>
          <w:cantSplit w:val="true"/>
        </w:trPr>
        <w:tc>
          <w:tcPr>
            <w:tcW w:type="dxa" w:w="144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DEC-25A-012</w:t>
            </w:r>
          </w:p>
        </w:tc>
        <w:tc>
          <w:tcPr>
            <w:tcW w:type="dxa" w:w="237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Canonical authoring and generated-data formats.</w:t>
            </w:r>
          </w:p>
        </w:tc>
        <w:tc>
          <w:tcPr>
            <w:tcW w:type="dxa" w:w="180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Pending Approval</w:t>
            </w:r>
          </w:p>
        </w:tc>
        <w:tc>
          <w:tcPr>
            <w:tcW w:type="dxa" w:w="2232"/>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25D</w:t>
            </w:r>
          </w:p>
        </w:tc>
        <w:tc>
          <w:tcPr>
            <w:tcW w:type="dxa" w:w="180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Tooling/Doc 18</w:t>
            </w:r>
          </w:p>
        </w:tc>
      </w:tr>
      <w:tr>
        <w:trPr>
          <w:cantSplit w:val="true"/>
        </w:trPr>
        <w:tc>
          <w:tcPr>
            <w:tcW w:type="dxa" w:w="1440"/>
            <w:tcMar>
              <w:top w:w="55" w:type="dxa"/>
              <w:start w:w="70" w:type="dxa"/>
              <w:bottom w:w="55" w:type="dxa"/>
              <w:end w:w="70" w:type="dxa"/>
            </w:tcMar>
            <w:vAlign w:val="top"/>
          </w:tcPr>
          <w:p>
            <w:pPr>
              <w:spacing w:after="0"/>
            </w:pPr>
            <w:r/>
            <w:r>
              <w:rPr>
                <w:rFonts w:ascii="Liberation Sans" w:hAnsi="Liberation Sans"/>
                <w:b w:val="0"/>
                <w:i w:val="0"/>
                <w:color w:val="202E3E"/>
                <w:sz w:val="15"/>
              </w:rPr>
              <w:t>DEC-25A-013</w:t>
            </w:r>
          </w:p>
        </w:tc>
        <w:tc>
          <w:tcPr>
            <w:tcW w:type="dxa" w:w="2376"/>
            <w:tcMar>
              <w:top w:w="55" w:type="dxa"/>
              <w:start w:w="70" w:type="dxa"/>
              <w:bottom w:w="55" w:type="dxa"/>
              <w:end w:w="70" w:type="dxa"/>
            </w:tcMar>
            <w:vAlign w:val="top"/>
          </w:tcPr>
          <w:p>
            <w:pPr>
              <w:spacing w:after="0"/>
            </w:pPr>
            <w:r/>
            <w:r>
              <w:rPr>
                <w:rFonts w:ascii="Liberation Sans" w:hAnsi="Liberation Sans"/>
                <w:b w:val="0"/>
                <w:i w:val="0"/>
                <w:color w:val="202E3E"/>
                <w:sz w:val="15"/>
              </w:rPr>
              <w:t>Core Production content roster and first playable dimension.</w:t>
            </w:r>
          </w:p>
        </w:tc>
        <w:tc>
          <w:tcPr>
            <w:tcW w:type="dxa" w:w="1800"/>
            <w:tcMar>
              <w:top w:w="55" w:type="dxa"/>
              <w:start w:w="70" w:type="dxa"/>
              <w:bottom w:w="55" w:type="dxa"/>
              <w:end w:w="70" w:type="dxa"/>
            </w:tcMar>
            <w:vAlign w:val="top"/>
          </w:tcPr>
          <w:p>
            <w:pPr>
              <w:spacing w:after="0"/>
            </w:pPr>
            <w:r/>
            <w:r>
              <w:rPr>
                <w:rFonts w:ascii="Liberation Sans" w:hAnsi="Liberation Sans"/>
                <w:b w:val="0"/>
                <w:i w:val="0"/>
                <w:color w:val="202E3E"/>
                <w:sz w:val="15"/>
              </w:rPr>
              <w:t>Pending Approval</w:t>
            </w:r>
          </w:p>
        </w:tc>
        <w:tc>
          <w:tcPr>
            <w:tcW w:type="dxa" w:w="2232"/>
            <w:tcMar>
              <w:top w:w="55" w:type="dxa"/>
              <w:start w:w="70" w:type="dxa"/>
              <w:bottom w:w="55" w:type="dxa"/>
              <w:end w:w="70" w:type="dxa"/>
            </w:tcMar>
            <w:vAlign w:val="top"/>
          </w:tcPr>
          <w:p>
            <w:pPr>
              <w:spacing w:after="0"/>
            </w:pPr>
            <w:r/>
            <w:r>
              <w:rPr>
                <w:rFonts w:ascii="Liberation Sans" w:hAnsi="Liberation Sans"/>
                <w:b w:val="0"/>
                <w:i w:val="0"/>
                <w:color w:val="202E3E"/>
                <w:sz w:val="15"/>
              </w:rPr>
              <w:t>25F</w:t>
            </w:r>
          </w:p>
        </w:tc>
        <w:tc>
          <w:tcPr>
            <w:tcW w:type="dxa" w:w="1800"/>
            <w:tcMar>
              <w:top w:w="55" w:type="dxa"/>
              <w:start w:w="70" w:type="dxa"/>
              <w:bottom w:w="55" w:type="dxa"/>
              <w:end w:w="70" w:type="dxa"/>
            </w:tcMar>
            <w:vAlign w:val="top"/>
          </w:tcPr>
          <w:p>
            <w:pPr>
              <w:spacing w:after="0"/>
            </w:pPr>
            <w:r/>
            <w:r>
              <w:rPr>
                <w:rFonts w:ascii="Liberation Sans" w:hAnsi="Liberation Sans"/>
                <w:b w:val="0"/>
                <w:i w:val="0"/>
                <w:color w:val="202E3E"/>
                <w:sz w:val="15"/>
              </w:rPr>
              <w:t>All downstream content</w:t>
            </w:r>
          </w:p>
        </w:tc>
      </w:tr>
      <w:tr>
        <w:trPr>
          <w:cantSplit w:val="true"/>
        </w:trPr>
        <w:tc>
          <w:tcPr>
            <w:tcW w:type="dxa" w:w="144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DEC-25A-014</w:t>
            </w:r>
          </w:p>
        </w:tc>
        <w:tc>
          <w:tcPr>
            <w:tcW w:type="dxa" w:w="237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Second teaser realm inclusion.</w:t>
            </w:r>
          </w:p>
        </w:tc>
        <w:tc>
          <w:tcPr>
            <w:tcW w:type="dxa" w:w="180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Pending Approval</w:t>
            </w:r>
          </w:p>
        </w:tc>
        <w:tc>
          <w:tcPr>
            <w:tcW w:type="dxa" w:w="2232"/>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25F</w:t>
            </w:r>
          </w:p>
        </w:tc>
        <w:tc>
          <w:tcPr>
            <w:tcW w:type="dxa" w:w="180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Realm assets/worldgen</w:t>
            </w:r>
          </w:p>
        </w:tc>
      </w:tr>
      <w:tr>
        <w:trPr>
          <w:cantSplit w:val="true"/>
        </w:trPr>
        <w:tc>
          <w:tcPr>
            <w:tcW w:type="dxa" w:w="1440"/>
            <w:tcMar>
              <w:top w:w="55" w:type="dxa"/>
              <w:start w:w="70" w:type="dxa"/>
              <w:bottom w:w="55" w:type="dxa"/>
              <w:end w:w="70" w:type="dxa"/>
            </w:tcMar>
            <w:vAlign w:val="top"/>
          </w:tcPr>
          <w:p>
            <w:pPr>
              <w:spacing w:after="0"/>
            </w:pPr>
            <w:r/>
            <w:r>
              <w:rPr>
                <w:rFonts w:ascii="Liberation Sans" w:hAnsi="Liberation Sans"/>
                <w:b w:val="0"/>
                <w:i w:val="0"/>
                <w:color w:val="202E3E"/>
                <w:sz w:val="15"/>
              </w:rPr>
              <w:t>DEC-25A-015</w:t>
            </w:r>
          </w:p>
        </w:tc>
        <w:tc>
          <w:tcPr>
            <w:tcW w:type="dxa" w:w="2376"/>
            <w:tcMar>
              <w:top w:w="55" w:type="dxa"/>
              <w:start w:w="70" w:type="dxa"/>
              <w:bottom w:w="55" w:type="dxa"/>
              <w:end w:w="70" w:type="dxa"/>
            </w:tcMar>
            <w:vAlign w:val="top"/>
          </w:tcPr>
          <w:p>
            <w:pPr>
              <w:spacing w:after="0"/>
            </w:pPr>
            <w:r/>
            <w:r>
              <w:rPr>
                <w:rFonts w:ascii="Liberation Sans" w:hAnsi="Liberation Sans"/>
                <w:b w:val="0"/>
                <w:i w:val="0"/>
                <w:color w:val="202E3E"/>
                <w:sz w:val="15"/>
              </w:rPr>
              <w:t>Canonical settlement stages.</w:t>
            </w:r>
          </w:p>
        </w:tc>
        <w:tc>
          <w:tcPr>
            <w:tcW w:type="dxa" w:w="1800"/>
            <w:tcMar>
              <w:top w:w="55" w:type="dxa"/>
              <w:start w:w="70" w:type="dxa"/>
              <w:bottom w:w="55" w:type="dxa"/>
              <w:end w:w="70" w:type="dxa"/>
            </w:tcMar>
            <w:vAlign w:val="top"/>
          </w:tcPr>
          <w:p>
            <w:pPr>
              <w:spacing w:after="0"/>
            </w:pPr>
            <w:r/>
            <w:r>
              <w:rPr>
                <w:rFonts w:ascii="Liberation Sans" w:hAnsi="Liberation Sans"/>
                <w:b w:val="0"/>
                <w:i w:val="0"/>
                <w:color w:val="202E3E"/>
                <w:sz w:val="15"/>
              </w:rPr>
              <w:t>Pending Approval</w:t>
            </w:r>
          </w:p>
        </w:tc>
        <w:tc>
          <w:tcPr>
            <w:tcW w:type="dxa" w:w="2232"/>
            <w:tcMar>
              <w:top w:w="55" w:type="dxa"/>
              <w:start w:w="70" w:type="dxa"/>
              <w:bottom w:w="55" w:type="dxa"/>
              <w:end w:w="70" w:type="dxa"/>
            </w:tcMar>
            <w:vAlign w:val="top"/>
          </w:tcPr>
          <w:p>
            <w:pPr>
              <w:spacing w:after="0"/>
            </w:pPr>
            <w:r/>
            <w:r>
              <w:rPr>
                <w:rFonts w:ascii="Liberation Sans" w:hAnsi="Liberation Sans"/>
                <w:b w:val="0"/>
                <w:i w:val="0"/>
                <w:color w:val="202E3E"/>
                <w:sz w:val="15"/>
              </w:rPr>
              <w:t>Revision Pack 25A</w:t>
            </w:r>
          </w:p>
        </w:tc>
        <w:tc>
          <w:tcPr>
            <w:tcW w:type="dxa" w:w="1800"/>
            <w:tcMar>
              <w:top w:w="55" w:type="dxa"/>
              <w:start w:w="70" w:type="dxa"/>
              <w:bottom w:w="55" w:type="dxa"/>
              <w:end w:w="70" w:type="dxa"/>
            </w:tcMar>
            <w:vAlign w:val="top"/>
          </w:tcPr>
          <w:p>
            <w:pPr>
              <w:spacing w:after="0"/>
            </w:pPr>
            <w:r/>
            <w:r>
              <w:rPr>
                <w:rFonts w:ascii="Liberation Sans" w:hAnsi="Liberation Sans"/>
                <w:b w:val="0"/>
                <w:i w:val="0"/>
                <w:color w:val="202E3E"/>
                <w:sz w:val="15"/>
              </w:rPr>
              <w:t>NPC/structures/UI</w:t>
            </w:r>
          </w:p>
        </w:tc>
      </w:tr>
      <w:tr>
        <w:trPr>
          <w:cantSplit w:val="true"/>
        </w:trPr>
        <w:tc>
          <w:tcPr>
            <w:tcW w:type="dxa" w:w="144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DEC-25A-016</w:t>
            </w:r>
          </w:p>
        </w:tc>
        <w:tc>
          <w:tcPr>
            <w:tcW w:type="dxa" w:w="237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Default hunger, thirst, temperature, sleep, illness and spoilage settings.</w:t>
            </w:r>
          </w:p>
        </w:tc>
        <w:tc>
          <w:tcPr>
            <w:tcW w:type="dxa" w:w="180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Pending Approval</w:t>
            </w:r>
          </w:p>
        </w:tc>
        <w:tc>
          <w:tcPr>
            <w:tcW w:type="dxa" w:w="2232"/>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Revision Pack 25A / 25F</w:t>
            </w:r>
          </w:p>
        </w:tc>
        <w:tc>
          <w:tcPr>
            <w:tcW w:type="dxa" w:w="180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Progression/UI/balance</w:t>
            </w:r>
          </w:p>
        </w:tc>
      </w:tr>
      <w:tr>
        <w:trPr>
          <w:cantSplit w:val="true"/>
        </w:trPr>
        <w:tc>
          <w:tcPr>
            <w:tcW w:type="dxa" w:w="1440"/>
            <w:tcMar>
              <w:top w:w="55" w:type="dxa"/>
              <w:start w:w="70" w:type="dxa"/>
              <w:bottom w:w="55" w:type="dxa"/>
              <w:end w:w="70" w:type="dxa"/>
            </w:tcMar>
            <w:vAlign w:val="top"/>
          </w:tcPr>
          <w:p>
            <w:pPr>
              <w:spacing w:after="0"/>
            </w:pPr>
            <w:r/>
            <w:r>
              <w:rPr>
                <w:rFonts w:ascii="Liberation Sans" w:hAnsi="Liberation Sans"/>
                <w:b w:val="0"/>
                <w:i w:val="0"/>
                <w:color w:val="202E3E"/>
                <w:sz w:val="15"/>
              </w:rPr>
              <w:t>DEC-25A-017</w:t>
            </w:r>
          </w:p>
        </w:tc>
        <w:tc>
          <w:tcPr>
            <w:tcW w:type="dxa" w:w="2376"/>
            <w:tcMar>
              <w:top w:w="55" w:type="dxa"/>
              <w:start w:w="70" w:type="dxa"/>
              <w:bottom w:w="55" w:type="dxa"/>
              <w:end w:w="70" w:type="dxa"/>
            </w:tcMar>
            <w:vAlign w:val="top"/>
          </w:tcPr>
          <w:p>
            <w:pPr>
              <w:spacing w:after="0"/>
            </w:pPr>
            <w:r/>
            <w:r>
              <w:rPr>
                <w:rFonts w:ascii="Liberation Sans" w:hAnsi="Liberation Sans"/>
                <w:b w:val="0"/>
                <w:i w:val="0"/>
                <w:color w:val="202E3E"/>
                <w:sz w:val="15"/>
              </w:rPr>
              <w:t>Capability-based progression bands, Bronze role and Mana Crystal parallelism.</w:t>
            </w:r>
          </w:p>
        </w:tc>
        <w:tc>
          <w:tcPr>
            <w:tcW w:type="dxa" w:w="1800"/>
            <w:tcMar>
              <w:top w:w="55" w:type="dxa"/>
              <w:start w:w="70" w:type="dxa"/>
              <w:bottom w:w="55" w:type="dxa"/>
              <w:end w:w="70" w:type="dxa"/>
            </w:tcMar>
            <w:vAlign w:val="top"/>
          </w:tcPr>
          <w:p>
            <w:pPr>
              <w:spacing w:after="0"/>
            </w:pPr>
            <w:r/>
            <w:r>
              <w:rPr>
                <w:rFonts w:ascii="Liberation Sans" w:hAnsi="Liberation Sans"/>
                <w:b w:val="0"/>
                <w:i w:val="0"/>
                <w:color w:val="202E3E"/>
                <w:sz w:val="15"/>
              </w:rPr>
              <w:t>Pending Approval</w:t>
            </w:r>
          </w:p>
        </w:tc>
        <w:tc>
          <w:tcPr>
            <w:tcW w:type="dxa" w:w="2232"/>
            <w:tcMar>
              <w:top w:w="55" w:type="dxa"/>
              <w:start w:w="70" w:type="dxa"/>
              <w:bottom w:w="55" w:type="dxa"/>
              <w:end w:w="70" w:type="dxa"/>
            </w:tcMar>
            <w:vAlign w:val="top"/>
          </w:tcPr>
          <w:p>
            <w:pPr>
              <w:spacing w:after="0"/>
            </w:pPr>
            <w:r/>
            <w:r>
              <w:rPr>
                <w:rFonts w:ascii="Liberation Sans" w:hAnsi="Liberation Sans"/>
                <w:b w:val="0"/>
                <w:i w:val="0"/>
                <w:color w:val="202E3E"/>
                <w:sz w:val="15"/>
              </w:rPr>
              <w:t>25G/25J</w:t>
            </w:r>
          </w:p>
        </w:tc>
        <w:tc>
          <w:tcPr>
            <w:tcW w:type="dxa" w:w="1800"/>
            <w:tcMar>
              <w:top w:w="55" w:type="dxa"/>
              <w:start w:w="70" w:type="dxa"/>
              <w:bottom w:w="55" w:type="dxa"/>
              <w:end w:w="70" w:type="dxa"/>
            </w:tcMar>
            <w:vAlign w:val="top"/>
          </w:tcPr>
          <w:p>
            <w:pPr>
              <w:spacing w:after="0"/>
            </w:pPr>
            <w:r/>
            <w:r>
              <w:rPr>
                <w:rFonts w:ascii="Liberation Sans" w:hAnsi="Liberation Sans"/>
                <w:b w:val="0"/>
                <w:i w:val="0"/>
                <w:color w:val="202E3E"/>
                <w:sz w:val="15"/>
              </w:rPr>
              <w:t>Docs 03-06</w:t>
            </w:r>
          </w:p>
        </w:tc>
      </w:tr>
      <w:tr>
        <w:trPr>
          <w:cantSplit w:val="true"/>
        </w:trPr>
        <w:tc>
          <w:tcPr>
            <w:tcW w:type="dxa" w:w="144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DEC-25A-018</w:t>
            </w:r>
          </w:p>
        </w:tc>
        <w:tc>
          <w:tcPr>
            <w:tcW w:type="dxa" w:w="237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Item rarity, quality, scarcity and provenance semantics.</w:t>
            </w:r>
          </w:p>
        </w:tc>
        <w:tc>
          <w:tcPr>
            <w:tcW w:type="dxa" w:w="180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Pending Approval</w:t>
            </w:r>
          </w:p>
        </w:tc>
        <w:tc>
          <w:tcPr>
            <w:tcW w:type="dxa" w:w="2232"/>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25I/25J</w:t>
            </w:r>
          </w:p>
        </w:tc>
        <w:tc>
          <w:tcPr>
            <w:tcW w:type="dxa" w:w="180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Doc 04/UI/loot</w:t>
            </w:r>
          </w:p>
        </w:tc>
      </w:tr>
      <w:tr>
        <w:trPr>
          <w:cantSplit w:val="true"/>
        </w:trPr>
        <w:tc>
          <w:tcPr>
            <w:tcW w:type="dxa" w:w="1440"/>
            <w:tcMar>
              <w:top w:w="55" w:type="dxa"/>
              <w:start w:w="70" w:type="dxa"/>
              <w:bottom w:w="55" w:type="dxa"/>
              <w:end w:w="70" w:type="dxa"/>
            </w:tcMar>
            <w:vAlign w:val="top"/>
          </w:tcPr>
          <w:p>
            <w:pPr>
              <w:spacing w:after="0"/>
            </w:pPr>
            <w:r/>
            <w:r>
              <w:rPr>
                <w:rFonts w:ascii="Liberation Sans" w:hAnsi="Liberation Sans"/>
                <w:b w:val="0"/>
                <w:i w:val="0"/>
                <w:color w:val="202E3E"/>
                <w:sz w:val="15"/>
              </w:rPr>
              <w:t>DEC-25A-019</w:t>
            </w:r>
          </w:p>
        </w:tc>
        <w:tc>
          <w:tcPr>
            <w:tcW w:type="dxa" w:w="2376"/>
            <w:tcMar>
              <w:top w:w="55" w:type="dxa"/>
              <w:start w:w="70" w:type="dxa"/>
              <w:bottom w:w="55" w:type="dxa"/>
              <w:end w:w="70" w:type="dxa"/>
            </w:tcMar>
            <w:vAlign w:val="top"/>
          </w:tcPr>
          <w:p>
            <w:pPr>
              <w:spacing w:after="0"/>
            </w:pPr>
            <w:r/>
            <w:r>
              <w:rPr>
                <w:rFonts w:ascii="Liberation Sans" w:hAnsi="Liberation Sans"/>
                <w:b w:val="0"/>
                <w:i w:val="0"/>
                <w:color w:val="202E3E"/>
                <w:sz w:val="15"/>
              </w:rPr>
              <w:t>Windows target hardware and performance budgets.</w:t>
            </w:r>
          </w:p>
        </w:tc>
        <w:tc>
          <w:tcPr>
            <w:tcW w:type="dxa" w:w="1800"/>
            <w:tcMar>
              <w:top w:w="55" w:type="dxa"/>
              <w:start w:w="70" w:type="dxa"/>
              <w:bottom w:w="55" w:type="dxa"/>
              <w:end w:w="70" w:type="dxa"/>
            </w:tcMar>
            <w:vAlign w:val="top"/>
          </w:tcPr>
          <w:p>
            <w:pPr>
              <w:spacing w:after="0"/>
            </w:pPr>
            <w:r/>
            <w:r>
              <w:rPr>
                <w:rFonts w:ascii="Liberation Sans" w:hAnsi="Liberation Sans"/>
                <w:b w:val="0"/>
                <w:i w:val="0"/>
                <w:color w:val="202E3E"/>
                <w:sz w:val="15"/>
              </w:rPr>
              <w:t>Pending Approval</w:t>
            </w:r>
          </w:p>
        </w:tc>
        <w:tc>
          <w:tcPr>
            <w:tcW w:type="dxa" w:w="2232"/>
            <w:tcMar>
              <w:top w:w="55" w:type="dxa"/>
              <w:start w:w="70" w:type="dxa"/>
              <w:bottom w:w="55" w:type="dxa"/>
              <w:end w:w="70" w:type="dxa"/>
            </w:tcMar>
            <w:vAlign w:val="top"/>
          </w:tcPr>
          <w:p>
            <w:pPr>
              <w:spacing w:after="0"/>
            </w:pPr>
            <w:r/>
            <w:r>
              <w:rPr>
                <w:rFonts w:ascii="Liberation Sans" w:hAnsi="Liberation Sans"/>
                <w:b w:val="0"/>
                <w:i w:val="0"/>
                <w:color w:val="202E3E"/>
                <w:sz w:val="15"/>
              </w:rPr>
              <w:t>Doc 18 / 25E</w:t>
            </w:r>
          </w:p>
        </w:tc>
        <w:tc>
          <w:tcPr>
            <w:tcW w:type="dxa" w:w="1800"/>
            <w:tcMar>
              <w:top w:w="55" w:type="dxa"/>
              <w:start w:w="70" w:type="dxa"/>
              <w:bottom w:w="55" w:type="dxa"/>
              <w:end w:w="70" w:type="dxa"/>
            </w:tcMar>
            <w:vAlign w:val="top"/>
          </w:tcPr>
          <w:p>
            <w:pPr>
              <w:spacing w:after="0"/>
            </w:pPr>
            <w:r/>
            <w:r>
              <w:rPr>
                <w:rFonts w:ascii="Liberation Sans" w:hAnsi="Liberation Sans"/>
                <w:b w:val="0"/>
                <w:i w:val="0"/>
                <w:color w:val="202E3E"/>
                <w:sz w:val="15"/>
              </w:rPr>
              <w:t>Implementation</w:t>
            </w:r>
          </w:p>
        </w:tc>
      </w:tr>
      <w:tr>
        <w:trPr>
          <w:cantSplit w:val="true"/>
        </w:trPr>
        <w:tc>
          <w:tcPr>
            <w:tcW w:type="dxa" w:w="144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DEC-25A-020</w:t>
            </w:r>
          </w:p>
        </w:tc>
        <w:tc>
          <w:tcPr>
            <w:tcW w:type="dxa" w:w="237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Core playable multiplayer scope.</w:t>
            </w:r>
          </w:p>
        </w:tc>
        <w:tc>
          <w:tcPr>
            <w:tcW w:type="dxa" w:w="180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Pending Approval</w:t>
            </w:r>
          </w:p>
        </w:tc>
        <w:tc>
          <w:tcPr>
            <w:tcW w:type="dxa" w:w="2232"/>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Doc 18 / 25F</w:t>
            </w:r>
          </w:p>
        </w:tc>
        <w:tc>
          <w:tcPr>
            <w:tcW w:type="dxa" w:w="180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Authority/UI/testing</w:t>
            </w:r>
          </w:p>
        </w:tc>
      </w:tr>
      <w:tr>
        <w:trPr>
          <w:cantSplit w:val="true"/>
        </w:trPr>
        <w:tc>
          <w:tcPr>
            <w:tcW w:type="dxa" w:w="1440"/>
            <w:tcMar>
              <w:top w:w="55" w:type="dxa"/>
              <w:start w:w="70" w:type="dxa"/>
              <w:bottom w:w="55" w:type="dxa"/>
              <w:end w:w="70" w:type="dxa"/>
            </w:tcMar>
            <w:vAlign w:val="top"/>
          </w:tcPr>
          <w:p>
            <w:pPr>
              <w:spacing w:after="0"/>
            </w:pPr>
            <w:r/>
            <w:r>
              <w:rPr>
                <w:rFonts w:ascii="Liberation Sans" w:hAnsi="Liberation Sans"/>
                <w:b w:val="0"/>
                <w:i w:val="0"/>
                <w:color w:val="202E3E"/>
                <w:sz w:val="15"/>
              </w:rPr>
              <w:t>DEC-25A-021</w:t>
            </w:r>
          </w:p>
        </w:tc>
        <w:tc>
          <w:tcPr>
            <w:tcW w:type="dxa" w:w="2376"/>
            <w:tcMar>
              <w:top w:w="55" w:type="dxa"/>
              <w:start w:w="70" w:type="dxa"/>
              <w:bottom w:w="55" w:type="dxa"/>
              <w:end w:w="70" w:type="dxa"/>
            </w:tcMar>
            <w:vAlign w:val="top"/>
          </w:tcPr>
          <w:p>
            <w:pPr>
              <w:spacing w:after="0"/>
            </w:pPr>
            <w:r/>
            <w:r>
              <w:rPr>
                <w:rFonts w:ascii="Liberation Sans" w:hAnsi="Liberation Sans"/>
                <w:b w:val="0"/>
                <w:i w:val="0"/>
                <w:color w:val="202E3E"/>
                <w:sz w:val="15"/>
              </w:rPr>
              <w:t>Initial modding and content-pack exposure.</w:t>
            </w:r>
          </w:p>
        </w:tc>
        <w:tc>
          <w:tcPr>
            <w:tcW w:type="dxa" w:w="1800"/>
            <w:tcMar>
              <w:top w:w="55" w:type="dxa"/>
              <w:start w:w="70" w:type="dxa"/>
              <w:bottom w:w="55" w:type="dxa"/>
              <w:end w:w="70" w:type="dxa"/>
            </w:tcMar>
            <w:vAlign w:val="top"/>
          </w:tcPr>
          <w:p>
            <w:pPr>
              <w:spacing w:after="0"/>
            </w:pPr>
            <w:r/>
            <w:r>
              <w:rPr>
                <w:rFonts w:ascii="Liberation Sans" w:hAnsi="Liberation Sans"/>
                <w:b w:val="0"/>
                <w:i w:val="0"/>
                <w:color w:val="202E3E"/>
                <w:sz w:val="15"/>
              </w:rPr>
              <w:t>Pending Approval</w:t>
            </w:r>
          </w:p>
        </w:tc>
        <w:tc>
          <w:tcPr>
            <w:tcW w:type="dxa" w:w="2232"/>
            <w:tcMar>
              <w:top w:w="55" w:type="dxa"/>
              <w:start w:w="70" w:type="dxa"/>
              <w:bottom w:w="55" w:type="dxa"/>
              <w:end w:w="70" w:type="dxa"/>
            </w:tcMar>
            <w:vAlign w:val="top"/>
          </w:tcPr>
          <w:p>
            <w:pPr>
              <w:spacing w:after="0"/>
            </w:pPr>
            <w:r/>
            <w:r>
              <w:rPr>
                <w:rFonts w:ascii="Liberation Sans" w:hAnsi="Liberation Sans"/>
                <w:b w:val="0"/>
                <w:i w:val="0"/>
                <w:color w:val="202E3E"/>
                <w:sz w:val="15"/>
              </w:rPr>
              <w:t>25D/Doc 18</w:t>
            </w:r>
          </w:p>
        </w:tc>
        <w:tc>
          <w:tcPr>
            <w:tcW w:type="dxa" w:w="1800"/>
            <w:tcMar>
              <w:top w:w="55" w:type="dxa"/>
              <w:start w:w="70" w:type="dxa"/>
              <w:bottom w:w="55" w:type="dxa"/>
              <w:end w:w="70" w:type="dxa"/>
            </w:tcMar>
            <w:vAlign w:val="top"/>
          </w:tcPr>
          <w:p>
            <w:pPr>
              <w:spacing w:after="0"/>
            </w:pPr>
            <w:r/>
            <w:r>
              <w:rPr>
                <w:rFonts w:ascii="Liberation Sans" w:hAnsi="Liberation Sans"/>
                <w:b w:val="0"/>
                <w:i w:val="0"/>
                <w:color w:val="202E3E"/>
                <w:sz w:val="15"/>
              </w:rPr>
              <w:t>Security/migration</w:t>
            </w:r>
          </w:p>
        </w:tc>
      </w:tr>
      <w:tr>
        <w:trPr>
          <w:cantSplit w:val="true"/>
        </w:trPr>
        <w:tc>
          <w:tcPr>
            <w:tcW w:type="dxa" w:w="144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DEC-25A-022</w:t>
            </w:r>
          </w:p>
        </w:tc>
        <w:tc>
          <w:tcPr>
            <w:tcW w:type="dxa" w:w="237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AI-assisted asset and code provenance/licensing policy.</w:t>
            </w:r>
          </w:p>
        </w:tc>
        <w:tc>
          <w:tcPr>
            <w:tcW w:type="dxa" w:w="180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Pending Approval</w:t>
            </w:r>
          </w:p>
        </w:tc>
        <w:tc>
          <w:tcPr>
            <w:tcW w:type="dxa" w:w="2232"/>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25K</w:t>
            </w:r>
          </w:p>
        </w:tc>
        <w:tc>
          <w:tcPr>
            <w:tcW w:type="dxa" w:w="180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Asset/code release</w:t>
            </w:r>
          </w:p>
        </w:tc>
      </w:tr>
      <w:tr>
        <w:trPr>
          <w:cantSplit w:val="true"/>
        </w:trPr>
        <w:tc>
          <w:tcPr>
            <w:tcW w:type="dxa" w:w="1440"/>
            <w:tcMar>
              <w:top w:w="55" w:type="dxa"/>
              <w:start w:w="70" w:type="dxa"/>
              <w:bottom w:w="55" w:type="dxa"/>
              <w:end w:w="70" w:type="dxa"/>
            </w:tcMar>
            <w:vAlign w:val="top"/>
          </w:tcPr>
          <w:p>
            <w:pPr>
              <w:spacing w:after="0"/>
            </w:pPr>
            <w:r/>
            <w:r>
              <w:rPr>
                <w:rFonts w:ascii="Liberation Sans" w:hAnsi="Liberation Sans"/>
                <w:b w:val="0"/>
                <w:i w:val="0"/>
                <w:color w:val="202E3E"/>
                <w:sz w:val="15"/>
              </w:rPr>
              <w:t>DEC-25A-023</w:t>
            </w:r>
          </w:p>
        </w:tc>
        <w:tc>
          <w:tcPr>
            <w:tcW w:type="dxa" w:w="2376"/>
            <w:tcMar>
              <w:top w:w="55" w:type="dxa"/>
              <w:start w:w="70" w:type="dxa"/>
              <w:bottom w:w="55" w:type="dxa"/>
              <w:end w:w="70" w:type="dxa"/>
            </w:tcMar>
            <w:vAlign w:val="top"/>
          </w:tcPr>
          <w:p>
            <w:pPr>
              <w:spacing w:after="0"/>
            </w:pPr>
            <w:r/>
            <w:r>
              <w:rPr>
                <w:rFonts w:ascii="Liberation Sans" w:hAnsi="Liberation Sans"/>
                <w:b w:val="0"/>
                <w:i w:val="0"/>
                <w:color w:val="202E3E"/>
                <w:sz w:val="15"/>
              </w:rPr>
              <w:t>Full online public multiplayer, matchmaking and host migration.</w:t>
            </w:r>
          </w:p>
        </w:tc>
        <w:tc>
          <w:tcPr>
            <w:tcW w:type="dxa" w:w="1800"/>
            <w:tcMar>
              <w:top w:w="55" w:type="dxa"/>
              <w:start w:w="70" w:type="dxa"/>
              <w:bottom w:w="55" w:type="dxa"/>
              <w:end w:w="70" w:type="dxa"/>
            </w:tcMar>
            <w:vAlign w:val="top"/>
          </w:tcPr>
          <w:p>
            <w:pPr>
              <w:spacing w:after="0"/>
            </w:pPr>
            <w:r/>
            <w:r>
              <w:rPr>
                <w:rFonts w:ascii="Liberation Sans" w:hAnsi="Liberation Sans"/>
                <w:b w:val="0"/>
                <w:i w:val="0"/>
                <w:color w:val="202E3E"/>
                <w:sz w:val="15"/>
              </w:rPr>
              <w:t>Deferred</w:t>
            </w:r>
          </w:p>
        </w:tc>
        <w:tc>
          <w:tcPr>
            <w:tcW w:type="dxa" w:w="2232"/>
            <w:tcMar>
              <w:top w:w="55" w:type="dxa"/>
              <w:start w:w="70" w:type="dxa"/>
              <w:bottom w:w="55" w:type="dxa"/>
              <w:end w:w="70" w:type="dxa"/>
            </w:tcMar>
            <w:vAlign w:val="top"/>
          </w:tcPr>
          <w:p>
            <w:pPr>
              <w:spacing w:after="0"/>
            </w:pPr>
            <w:r/>
            <w:r>
              <w:rPr>
                <w:rFonts w:ascii="Liberation Sans" w:hAnsi="Liberation Sans"/>
                <w:b w:val="0"/>
                <w:i w:val="0"/>
                <w:color w:val="202E3E"/>
                <w:sz w:val="15"/>
              </w:rPr>
              <w:t>Post-Core feasibility</w:t>
            </w:r>
          </w:p>
        </w:tc>
        <w:tc>
          <w:tcPr>
            <w:tcW w:type="dxa" w:w="1800"/>
            <w:tcMar>
              <w:top w:w="55" w:type="dxa"/>
              <w:start w:w="70" w:type="dxa"/>
              <w:bottom w:w="55" w:type="dxa"/>
              <w:end w:w="70" w:type="dxa"/>
            </w:tcMar>
            <w:vAlign w:val="top"/>
          </w:tcPr>
          <w:p>
            <w:pPr>
              <w:spacing w:after="0"/>
            </w:pPr>
            <w:r/>
            <w:r>
              <w:rPr>
                <w:rFonts w:ascii="Liberation Sans" w:hAnsi="Liberation Sans"/>
                <w:b w:val="0"/>
                <w:i w:val="0"/>
                <w:color w:val="202E3E"/>
                <w:sz w:val="15"/>
              </w:rPr>
              <w:t>Later milestone</w:t>
            </w:r>
          </w:p>
        </w:tc>
      </w:tr>
      <w:tr>
        <w:trPr>
          <w:cantSplit w:val="true"/>
        </w:trPr>
        <w:tc>
          <w:tcPr>
            <w:tcW w:type="dxa" w:w="144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DEC-25A-024</w:t>
            </w:r>
          </w:p>
        </w:tc>
        <w:tc>
          <w:tcPr>
            <w:tcW w:type="dxa" w:w="237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Remaining realms, megadungeons, titans and advanced simulation packages.</w:t>
            </w:r>
          </w:p>
        </w:tc>
        <w:tc>
          <w:tcPr>
            <w:tcW w:type="dxa" w:w="180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Deferred</w:t>
            </w:r>
          </w:p>
        </w:tc>
        <w:tc>
          <w:tcPr>
            <w:tcW w:type="dxa" w:w="2232"/>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Core classification</w:t>
            </w:r>
          </w:p>
        </w:tc>
        <w:tc>
          <w:tcPr>
            <w:tcW w:type="dxa" w:w="180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Early Access/Later Expansion</w:t>
            </w:r>
          </w:p>
        </w:tc>
      </w:tr>
      <w:tr>
        <w:trPr>
          <w:cantSplit w:val="true"/>
        </w:trPr>
        <w:tc>
          <w:tcPr>
            <w:tcW w:type="dxa" w:w="1440"/>
            <w:tcMar>
              <w:top w:w="55" w:type="dxa"/>
              <w:start w:w="70" w:type="dxa"/>
              <w:bottom w:w="55" w:type="dxa"/>
              <w:end w:w="70" w:type="dxa"/>
            </w:tcMar>
            <w:vAlign w:val="top"/>
          </w:tcPr>
          <w:p>
            <w:pPr>
              <w:spacing w:after="0"/>
            </w:pPr>
            <w:r/>
            <w:r>
              <w:rPr>
                <w:rFonts w:ascii="Liberation Sans" w:hAnsi="Liberation Sans"/>
                <w:b w:val="0"/>
                <w:i w:val="0"/>
                <w:color w:val="202E3E"/>
                <w:sz w:val="15"/>
              </w:rPr>
              <w:t>DEC-25A-025</w:t>
            </w:r>
          </w:p>
        </w:tc>
        <w:tc>
          <w:tcPr>
            <w:tcW w:type="dxa" w:w="2376"/>
            <w:tcMar>
              <w:top w:w="55" w:type="dxa"/>
              <w:start w:w="70" w:type="dxa"/>
              <w:bottom w:w="55" w:type="dxa"/>
              <w:end w:w="70" w:type="dxa"/>
            </w:tcMar>
            <w:vAlign w:val="top"/>
          </w:tcPr>
          <w:p>
            <w:pPr>
              <w:spacing w:after="0"/>
            </w:pPr>
            <w:r/>
            <w:r>
              <w:rPr>
                <w:rFonts w:ascii="Liberation Sans" w:hAnsi="Liberation Sans"/>
                <w:b w:val="0"/>
                <w:i w:val="0"/>
                <w:color w:val="202E3E"/>
                <w:sz w:val="15"/>
              </w:rPr>
              <w:t>Document Set 25 retains its identity, numbering and production-governance role.</w:t>
            </w:r>
          </w:p>
        </w:tc>
        <w:tc>
          <w:tcPr>
            <w:tcW w:type="dxa" w:w="1800"/>
            <w:tcMar>
              <w:top w:w="55" w:type="dxa"/>
              <w:start w:w="70" w:type="dxa"/>
              <w:bottom w:w="55" w:type="dxa"/>
              <w:end w:w="70" w:type="dxa"/>
            </w:tcMar>
            <w:vAlign w:val="top"/>
          </w:tcPr>
          <w:p>
            <w:pPr>
              <w:spacing w:after="0"/>
            </w:pPr>
            <w:r/>
            <w:r>
              <w:rPr>
                <w:rFonts w:ascii="Liberation Sans" w:hAnsi="Liberation Sans"/>
                <w:b w:val="0"/>
                <w:i w:val="0"/>
                <w:color w:val="202E3E"/>
                <w:sz w:val="15"/>
              </w:rPr>
              <w:t>Locked</w:t>
            </w:r>
          </w:p>
        </w:tc>
        <w:tc>
          <w:tcPr>
            <w:tcW w:type="dxa" w:w="2232"/>
            <w:tcMar>
              <w:top w:w="55" w:type="dxa"/>
              <w:start w:w="70" w:type="dxa"/>
              <w:bottom w:w="55" w:type="dxa"/>
              <w:end w:w="70" w:type="dxa"/>
            </w:tcMar>
            <w:vAlign w:val="top"/>
          </w:tcPr>
          <w:p>
            <w:pPr>
              <w:spacing w:after="0"/>
            </w:pPr>
            <w:r/>
            <w:r>
              <w:rPr>
                <w:rFonts w:ascii="Liberation Sans" w:hAnsi="Liberation Sans"/>
                <w:b w:val="0"/>
                <w:i w:val="0"/>
                <w:color w:val="202E3E"/>
                <w:sz w:val="15"/>
              </w:rPr>
              <w:t>Ash / Set 26 integration direction</w:t>
            </w:r>
          </w:p>
        </w:tc>
        <w:tc>
          <w:tcPr>
            <w:tcW w:type="dxa" w:w="1800"/>
            <w:tcMar>
              <w:top w:w="55" w:type="dxa"/>
              <w:start w:w="70" w:type="dxa"/>
              <w:bottom w:w="55" w:type="dxa"/>
              <w:end w:w="70" w:type="dxa"/>
            </w:tcMar>
            <w:vAlign w:val="top"/>
          </w:tcPr>
          <w:p>
            <w:pPr>
              <w:spacing w:after="0"/>
            </w:pPr>
            <w:r/>
            <w:r>
              <w:rPr>
                <w:rFonts w:ascii="Liberation Sans" w:hAnsi="Liberation Sans"/>
                <w:b w:val="0"/>
                <w:i w:val="0"/>
                <w:color w:val="202E3E"/>
                <w:sz w:val="15"/>
              </w:rPr>
              <w:t>All Set 25</w:t>
            </w:r>
          </w:p>
        </w:tc>
      </w:tr>
      <w:tr>
        <w:trPr>
          <w:cantSplit w:val="true"/>
        </w:trPr>
        <w:tc>
          <w:tcPr>
            <w:tcW w:type="dxa" w:w="144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DEC-25A-026</w:t>
            </w:r>
          </w:p>
        </w:tc>
        <w:tc>
          <w:tcPr>
            <w:tcW w:type="dxa" w:w="237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Document Set 26 is a separate Oceans, Maritime Civilisation, Vessels and Naval Systems Expansion.</w:t>
            </w:r>
          </w:p>
        </w:tc>
        <w:tc>
          <w:tcPr>
            <w:tcW w:type="dxa" w:w="180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Locked</w:t>
            </w:r>
          </w:p>
        </w:tc>
        <w:tc>
          <w:tcPr>
            <w:tcW w:type="dxa" w:w="2232"/>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Ash</w:t>
            </w:r>
          </w:p>
        </w:tc>
        <w:tc>
          <w:tcPr>
            <w:tcW w:type="dxa" w:w="180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25A-25L, 26A-26O</w:t>
            </w:r>
          </w:p>
        </w:tc>
      </w:tr>
      <w:tr>
        <w:trPr>
          <w:cantSplit w:val="true"/>
        </w:trPr>
        <w:tc>
          <w:tcPr>
            <w:tcW w:type="dxa" w:w="1440"/>
            <w:tcMar>
              <w:top w:w="55" w:type="dxa"/>
              <w:start w:w="70" w:type="dxa"/>
              <w:bottom w:w="55" w:type="dxa"/>
              <w:end w:w="70" w:type="dxa"/>
            </w:tcMar>
            <w:vAlign w:val="top"/>
          </w:tcPr>
          <w:p>
            <w:pPr>
              <w:spacing w:after="0"/>
            </w:pPr>
            <w:r/>
            <w:r>
              <w:rPr>
                <w:rFonts w:ascii="Liberation Sans" w:hAnsi="Liberation Sans"/>
                <w:b w:val="0"/>
                <w:i w:val="0"/>
                <w:color w:val="202E3E"/>
                <w:sz w:val="15"/>
              </w:rPr>
              <w:t>DEC-25A-027</w:t>
            </w:r>
          </w:p>
        </w:tc>
        <w:tc>
          <w:tcPr>
            <w:tcW w:type="dxa" w:w="2376"/>
            <w:tcMar>
              <w:top w:w="55" w:type="dxa"/>
              <w:start w:w="70" w:type="dxa"/>
              <w:bottom w:w="55" w:type="dxa"/>
              <w:end w:w="70" w:type="dxa"/>
            </w:tcMar>
            <w:vAlign w:val="top"/>
          </w:tcPr>
          <w:p>
            <w:pPr>
              <w:spacing w:after="0"/>
            </w:pPr>
            <w:r/>
            <w:r>
              <w:rPr>
                <w:rFonts w:ascii="Liberation Sans" w:hAnsi="Liberation Sans"/>
                <w:b w:val="0"/>
                <w:i w:val="0"/>
                <w:color w:val="202E3E"/>
                <w:sz w:val="15"/>
              </w:rPr>
              <w:t>Set 26 covers the approved full maritime gameplay and technical scope without being absorbed into Set 25.</w:t>
            </w:r>
          </w:p>
        </w:tc>
        <w:tc>
          <w:tcPr>
            <w:tcW w:type="dxa" w:w="1800"/>
            <w:tcMar>
              <w:top w:w="55" w:type="dxa"/>
              <w:start w:w="70" w:type="dxa"/>
              <w:bottom w:w="55" w:type="dxa"/>
              <w:end w:w="70" w:type="dxa"/>
            </w:tcMar>
            <w:vAlign w:val="top"/>
          </w:tcPr>
          <w:p>
            <w:pPr>
              <w:spacing w:after="0"/>
            </w:pPr>
            <w:r/>
            <w:r>
              <w:rPr>
                <w:rFonts w:ascii="Liberation Sans" w:hAnsi="Liberation Sans"/>
                <w:b w:val="0"/>
                <w:i w:val="0"/>
                <w:color w:val="202E3E"/>
                <w:sz w:val="15"/>
              </w:rPr>
              <w:t>Locked</w:t>
            </w:r>
          </w:p>
        </w:tc>
        <w:tc>
          <w:tcPr>
            <w:tcW w:type="dxa" w:w="2232"/>
            <w:tcMar>
              <w:top w:w="55" w:type="dxa"/>
              <w:start w:w="70" w:type="dxa"/>
              <w:bottom w:w="55" w:type="dxa"/>
              <w:end w:w="70" w:type="dxa"/>
            </w:tcMar>
            <w:vAlign w:val="top"/>
          </w:tcPr>
          <w:p>
            <w:pPr>
              <w:spacing w:after="0"/>
            </w:pPr>
            <w:r/>
            <w:r>
              <w:rPr>
                <w:rFonts w:ascii="Liberation Sans" w:hAnsi="Liberation Sans"/>
                <w:b w:val="0"/>
                <w:i w:val="0"/>
                <w:color w:val="202E3E"/>
                <w:sz w:val="15"/>
              </w:rPr>
              <w:t>Ash</w:t>
            </w:r>
          </w:p>
        </w:tc>
        <w:tc>
          <w:tcPr>
            <w:tcW w:type="dxa" w:w="1800"/>
            <w:tcMar>
              <w:top w:w="55" w:type="dxa"/>
              <w:start w:w="70" w:type="dxa"/>
              <w:bottom w:w="55" w:type="dxa"/>
              <w:end w:w="70" w:type="dxa"/>
            </w:tcMar>
            <w:vAlign w:val="top"/>
          </w:tcPr>
          <w:p>
            <w:pPr>
              <w:spacing w:after="0"/>
            </w:pPr>
            <w:r/>
            <w:r>
              <w:rPr>
                <w:rFonts w:ascii="Liberation Sans" w:hAnsi="Liberation Sans"/>
                <w:b w:val="0"/>
                <w:i w:val="0"/>
                <w:color w:val="202E3E"/>
                <w:sz w:val="15"/>
              </w:rPr>
              <w:t>26A-26O</w:t>
            </w:r>
          </w:p>
        </w:tc>
      </w:tr>
      <w:tr>
        <w:trPr>
          <w:cantSplit w:val="true"/>
        </w:trPr>
        <w:tc>
          <w:tcPr>
            <w:tcW w:type="dxa" w:w="144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DEC-25A-028</w:t>
            </w:r>
          </w:p>
        </w:tc>
        <w:tc>
          <w:tcPr>
            <w:tcW w:type="dxa" w:w="237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Set 26 depends on the Atlas, Set 25 registry/governance, Forge and existing gameplay/technical foundations and extends rather than replaces them.</w:t>
            </w:r>
          </w:p>
        </w:tc>
        <w:tc>
          <w:tcPr>
            <w:tcW w:type="dxa" w:w="180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Locked</w:t>
            </w:r>
          </w:p>
        </w:tc>
        <w:tc>
          <w:tcPr>
            <w:tcW w:type="dxa" w:w="2232"/>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Ash</w:t>
            </w:r>
          </w:p>
        </w:tc>
        <w:tc>
          <w:tcPr>
            <w:tcW w:type="dxa" w:w="180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25B-25L, 26A-26O</w:t>
            </w:r>
          </w:p>
        </w:tc>
      </w:tr>
      <w:tr>
        <w:trPr>
          <w:cantSplit w:val="true"/>
        </w:trPr>
        <w:tc>
          <w:tcPr>
            <w:tcW w:type="dxa" w:w="1440"/>
            <w:tcMar>
              <w:top w:w="55" w:type="dxa"/>
              <w:start w:w="70" w:type="dxa"/>
              <w:bottom w:w="55" w:type="dxa"/>
              <w:end w:w="70" w:type="dxa"/>
            </w:tcMar>
            <w:vAlign w:val="top"/>
          </w:tcPr>
          <w:p>
            <w:pPr>
              <w:spacing w:after="0"/>
            </w:pPr>
            <w:r/>
            <w:r>
              <w:rPr>
                <w:rFonts w:ascii="Liberation Sans" w:hAnsi="Liberation Sans"/>
                <w:b w:val="0"/>
                <w:i w:val="0"/>
                <w:color w:val="202E3E"/>
                <w:sz w:val="15"/>
              </w:rPr>
              <w:t>DEC-25A-029</w:t>
            </w:r>
          </w:p>
        </w:tc>
        <w:tc>
          <w:tcPr>
            <w:tcW w:type="dxa" w:w="2376"/>
            <w:tcMar>
              <w:top w:w="55" w:type="dxa"/>
              <w:start w:w="70" w:type="dxa"/>
              <w:bottom w:w="55" w:type="dxa"/>
              <w:end w:w="70" w:type="dxa"/>
            </w:tcMar>
            <w:vAlign w:val="top"/>
          </w:tcPr>
          <w:p>
            <w:pPr>
              <w:spacing w:after="0"/>
            </w:pPr>
            <w:r/>
            <w:r>
              <w:rPr>
                <w:rFonts w:ascii="Liberation Sans" w:hAnsi="Liberation Sans"/>
                <w:b w:val="0"/>
                <w:i w:val="0"/>
                <w:color w:val="202E3E"/>
                <w:sz w:val="15"/>
              </w:rPr>
              <w:t>Set 25 and Set 26 may proceed in parallel, with Set 25 remaining the production spine.</w:t>
            </w:r>
          </w:p>
        </w:tc>
        <w:tc>
          <w:tcPr>
            <w:tcW w:type="dxa" w:w="1800"/>
            <w:tcMar>
              <w:top w:w="55" w:type="dxa"/>
              <w:start w:w="70" w:type="dxa"/>
              <w:bottom w:w="55" w:type="dxa"/>
              <w:end w:w="70" w:type="dxa"/>
            </w:tcMar>
            <w:vAlign w:val="top"/>
          </w:tcPr>
          <w:p>
            <w:pPr>
              <w:spacing w:after="0"/>
            </w:pPr>
            <w:r/>
            <w:r>
              <w:rPr>
                <w:rFonts w:ascii="Liberation Sans" w:hAnsi="Liberation Sans"/>
                <w:b w:val="0"/>
                <w:i w:val="0"/>
                <w:color w:val="202E3E"/>
                <w:sz w:val="15"/>
              </w:rPr>
              <w:t>Locked</w:t>
            </w:r>
          </w:p>
        </w:tc>
        <w:tc>
          <w:tcPr>
            <w:tcW w:type="dxa" w:w="2232"/>
            <w:tcMar>
              <w:top w:w="55" w:type="dxa"/>
              <w:start w:w="70" w:type="dxa"/>
              <w:bottom w:w="55" w:type="dxa"/>
              <w:end w:w="70" w:type="dxa"/>
            </w:tcMar>
            <w:vAlign w:val="top"/>
          </w:tcPr>
          <w:p>
            <w:pPr>
              <w:spacing w:after="0"/>
            </w:pPr>
            <w:r/>
            <w:r>
              <w:rPr>
                <w:rFonts w:ascii="Liberation Sans" w:hAnsi="Liberation Sans"/>
                <w:b w:val="0"/>
                <w:i w:val="0"/>
                <w:color w:val="202E3E"/>
                <w:sz w:val="15"/>
              </w:rPr>
              <w:t>Ash</w:t>
            </w:r>
          </w:p>
        </w:tc>
        <w:tc>
          <w:tcPr>
            <w:tcW w:type="dxa" w:w="1800"/>
            <w:tcMar>
              <w:top w:w="55" w:type="dxa"/>
              <w:start w:w="70" w:type="dxa"/>
              <w:bottom w:w="55" w:type="dxa"/>
              <w:end w:w="70" w:type="dxa"/>
            </w:tcMar>
            <w:vAlign w:val="top"/>
          </w:tcPr>
          <w:p>
            <w:pPr>
              <w:spacing w:after="0"/>
            </w:pPr>
            <w:r/>
            <w:r>
              <w:rPr>
                <w:rFonts w:ascii="Liberation Sans" w:hAnsi="Liberation Sans"/>
                <w:b w:val="0"/>
                <w:i w:val="0"/>
                <w:color w:val="202E3E"/>
                <w:sz w:val="15"/>
              </w:rPr>
              <w:t>Roadmap and task gating</w:t>
            </w:r>
          </w:p>
        </w:tc>
      </w:tr>
      <w:tr>
        <w:trPr>
          <w:cantSplit w:val="true"/>
        </w:trPr>
        <w:tc>
          <w:tcPr>
            <w:tcW w:type="dxa" w:w="144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DEC-25A-030</w:t>
            </w:r>
          </w:p>
        </w:tc>
        <w:tc>
          <w:tcPr>
            <w:tcW w:type="dxa" w:w="237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25B must be stable before registry-heavy and technical Set 26 portions are finalised.</w:t>
            </w:r>
          </w:p>
        </w:tc>
        <w:tc>
          <w:tcPr>
            <w:tcW w:type="dxa" w:w="180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Locked</w:t>
            </w:r>
          </w:p>
        </w:tc>
        <w:tc>
          <w:tcPr>
            <w:tcW w:type="dxa" w:w="2232"/>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Ash</w:t>
            </w:r>
          </w:p>
        </w:tc>
        <w:tc>
          <w:tcPr>
            <w:tcW w:type="dxa" w:w="180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25B/25C/26F-26O</w:t>
            </w:r>
          </w:p>
        </w:tc>
      </w:tr>
      <w:tr>
        <w:trPr>
          <w:cantSplit w:val="true"/>
        </w:trPr>
        <w:tc>
          <w:tcPr>
            <w:tcW w:type="dxa" w:w="1440"/>
            <w:tcMar>
              <w:top w:w="55" w:type="dxa"/>
              <w:start w:w="70" w:type="dxa"/>
              <w:bottom w:w="55" w:type="dxa"/>
              <w:end w:w="70" w:type="dxa"/>
            </w:tcMar>
            <w:vAlign w:val="top"/>
          </w:tcPr>
          <w:p>
            <w:pPr>
              <w:spacing w:after="0"/>
            </w:pPr>
            <w:r/>
            <w:r>
              <w:rPr>
                <w:rFonts w:ascii="Liberation Sans" w:hAnsi="Liberation Sans"/>
                <w:b w:val="0"/>
                <w:i w:val="0"/>
                <w:color w:val="202E3E"/>
                <w:sz w:val="15"/>
              </w:rPr>
              <w:t>DEC-25A-031</w:t>
            </w:r>
          </w:p>
        </w:tc>
        <w:tc>
          <w:tcPr>
            <w:tcW w:type="dxa" w:w="2376"/>
            <w:tcMar>
              <w:top w:w="55" w:type="dxa"/>
              <w:start w:w="70" w:type="dxa"/>
              <w:bottom w:w="55" w:type="dxa"/>
              <w:end w:w="70" w:type="dxa"/>
            </w:tcMar>
            <w:vAlign w:val="top"/>
          </w:tcPr>
          <w:p>
            <w:pPr>
              <w:spacing w:after="0"/>
            </w:pPr>
            <w:r/>
            <w:r>
              <w:rPr>
                <w:rFonts w:ascii="Liberation Sans" w:hAnsi="Liberation Sans"/>
                <w:b w:val="0"/>
                <w:i w:val="0"/>
                <w:color w:val="202E3E"/>
                <w:sz w:val="15"/>
              </w:rPr>
              <w:t>25A is amended now and receives a later final integration revision; it is not rewritten after every Set 26 document.</w:t>
            </w:r>
          </w:p>
        </w:tc>
        <w:tc>
          <w:tcPr>
            <w:tcW w:type="dxa" w:w="1800"/>
            <w:tcMar>
              <w:top w:w="55" w:type="dxa"/>
              <w:start w:w="70" w:type="dxa"/>
              <w:bottom w:w="55" w:type="dxa"/>
              <w:end w:w="70" w:type="dxa"/>
            </w:tcMar>
            <w:vAlign w:val="top"/>
          </w:tcPr>
          <w:p>
            <w:pPr>
              <w:spacing w:after="0"/>
            </w:pPr>
            <w:r/>
            <w:r>
              <w:rPr>
                <w:rFonts w:ascii="Liberation Sans" w:hAnsi="Liberation Sans"/>
                <w:b w:val="0"/>
                <w:i w:val="0"/>
                <w:color w:val="202E3E"/>
                <w:sz w:val="15"/>
              </w:rPr>
              <w:t>Locked</w:t>
            </w:r>
          </w:p>
        </w:tc>
        <w:tc>
          <w:tcPr>
            <w:tcW w:type="dxa" w:w="2232"/>
            <w:tcMar>
              <w:top w:w="55" w:type="dxa"/>
              <w:start w:w="70" w:type="dxa"/>
              <w:bottom w:w="55" w:type="dxa"/>
              <w:end w:w="70" w:type="dxa"/>
            </w:tcMar>
            <w:vAlign w:val="top"/>
          </w:tcPr>
          <w:p>
            <w:pPr>
              <w:spacing w:after="0"/>
            </w:pPr>
            <w:r/>
            <w:r>
              <w:rPr>
                <w:rFonts w:ascii="Liberation Sans" w:hAnsi="Liberation Sans"/>
                <w:b w:val="0"/>
                <w:i w:val="0"/>
                <w:color w:val="202E3E"/>
                <w:sz w:val="15"/>
              </w:rPr>
              <w:t>Ash</w:t>
            </w:r>
          </w:p>
        </w:tc>
        <w:tc>
          <w:tcPr>
            <w:tcW w:type="dxa" w:w="1800"/>
            <w:tcMar>
              <w:top w:w="55" w:type="dxa"/>
              <w:start w:w="70" w:type="dxa"/>
              <w:bottom w:w="55" w:type="dxa"/>
              <w:end w:w="70" w:type="dxa"/>
            </w:tcMar>
            <w:vAlign w:val="top"/>
          </w:tcPr>
          <w:p>
            <w:pPr>
              <w:spacing w:after="0"/>
            </w:pPr>
            <w:r/>
            <w:r>
              <w:rPr>
                <w:rFonts w:ascii="Liberation Sans" w:hAnsi="Liberation Sans"/>
                <w:b w:val="0"/>
                <w:i w:val="0"/>
                <w:color w:val="202E3E"/>
                <w:sz w:val="15"/>
              </w:rPr>
              <w:t>25A change control</w:t>
            </w:r>
          </w:p>
        </w:tc>
      </w:tr>
      <w:tr>
        <w:trPr>
          <w:cantSplit w:val="true"/>
        </w:trPr>
        <w:tc>
          <w:tcPr>
            <w:tcW w:type="dxa" w:w="144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DEC-25A-032</w:t>
            </w:r>
          </w:p>
        </w:tc>
        <w:tc>
          <w:tcPr>
            <w:tcW w:type="dxa" w:w="237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Final Set 25 closure is incomplete until major approved Set 26 outputs are incorporated, deferred or explicitly excluded.</w:t>
            </w:r>
          </w:p>
        </w:tc>
        <w:tc>
          <w:tcPr>
            <w:tcW w:type="dxa" w:w="180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Locked</w:t>
            </w:r>
          </w:p>
        </w:tc>
        <w:tc>
          <w:tcPr>
            <w:tcW w:type="dxa" w:w="2232"/>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Ash</w:t>
            </w:r>
          </w:p>
        </w:tc>
        <w:tc>
          <w:tcPr>
            <w:tcW w:type="dxa" w:w="180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25L final closure</w:t>
            </w:r>
          </w:p>
        </w:tc>
      </w:tr>
      <w:tr>
        <w:trPr>
          <w:cantSplit w:val="true"/>
        </w:trPr>
        <w:tc>
          <w:tcPr>
            <w:tcW w:type="dxa" w:w="1440"/>
            <w:tcMar>
              <w:top w:w="55" w:type="dxa"/>
              <w:start w:w="70" w:type="dxa"/>
              <w:bottom w:w="55" w:type="dxa"/>
              <w:end w:w="70" w:type="dxa"/>
            </w:tcMar>
            <w:vAlign w:val="top"/>
          </w:tcPr>
          <w:p>
            <w:pPr>
              <w:spacing w:after="0"/>
            </w:pPr>
            <w:r/>
            <w:r>
              <w:rPr>
                <w:rFonts w:ascii="Liberation Sans" w:hAnsi="Liberation Sans"/>
                <w:b w:val="0"/>
                <w:i w:val="0"/>
                <w:color w:val="202E3E"/>
                <w:sz w:val="15"/>
              </w:rPr>
              <w:t>DEC-25A-033</w:t>
            </w:r>
          </w:p>
        </w:tc>
        <w:tc>
          <w:tcPr>
            <w:tcW w:type="dxa" w:w="2376"/>
            <w:tcMar>
              <w:top w:w="55" w:type="dxa"/>
              <w:start w:w="70" w:type="dxa"/>
              <w:bottom w:w="55" w:type="dxa"/>
              <w:end w:w="70" w:type="dxa"/>
            </w:tcMar>
            <w:vAlign w:val="top"/>
          </w:tcPr>
          <w:p>
            <w:pPr>
              <w:spacing w:after="0"/>
            </w:pPr>
            <w:r/>
            <w:r>
              <w:rPr>
                <w:rFonts w:ascii="Liberation Sans" w:hAnsi="Liberation Sans"/>
                <w:b w:val="0"/>
                <w:i w:val="0"/>
                <w:color w:val="202E3E"/>
                <w:sz w:val="15"/>
              </w:rPr>
              <w:t>Detailed oceans, vessels, maritime civilisation and naval design remain owned by Set 26.</w:t>
            </w:r>
          </w:p>
        </w:tc>
        <w:tc>
          <w:tcPr>
            <w:tcW w:type="dxa" w:w="1800"/>
            <w:tcMar>
              <w:top w:w="55" w:type="dxa"/>
              <w:start w:w="70" w:type="dxa"/>
              <w:bottom w:w="55" w:type="dxa"/>
              <w:end w:w="70" w:type="dxa"/>
            </w:tcMar>
            <w:vAlign w:val="top"/>
          </w:tcPr>
          <w:p>
            <w:pPr>
              <w:spacing w:after="0"/>
            </w:pPr>
            <w:r/>
            <w:r>
              <w:rPr>
                <w:rFonts w:ascii="Liberation Sans" w:hAnsi="Liberation Sans"/>
                <w:b w:val="0"/>
                <w:i w:val="0"/>
                <w:color w:val="202E3E"/>
                <w:sz w:val="15"/>
              </w:rPr>
              <w:t>Locked</w:t>
            </w:r>
          </w:p>
        </w:tc>
        <w:tc>
          <w:tcPr>
            <w:tcW w:type="dxa" w:w="2232"/>
            <w:tcMar>
              <w:top w:w="55" w:type="dxa"/>
              <w:start w:w="70" w:type="dxa"/>
              <w:bottom w:w="55" w:type="dxa"/>
              <w:end w:w="70" w:type="dxa"/>
            </w:tcMar>
            <w:vAlign w:val="top"/>
          </w:tcPr>
          <w:p>
            <w:pPr>
              <w:spacing w:after="0"/>
            </w:pPr>
            <w:r/>
            <w:r>
              <w:rPr>
                <w:rFonts w:ascii="Liberation Sans" w:hAnsi="Liberation Sans"/>
                <w:b w:val="0"/>
                <w:i w:val="0"/>
                <w:color w:val="202E3E"/>
                <w:sz w:val="15"/>
              </w:rPr>
              <w:t>Ash</w:t>
            </w:r>
          </w:p>
        </w:tc>
        <w:tc>
          <w:tcPr>
            <w:tcW w:type="dxa" w:w="1800"/>
            <w:tcMar>
              <w:top w:w="55" w:type="dxa"/>
              <w:start w:w="70" w:type="dxa"/>
              <w:bottom w:w="55" w:type="dxa"/>
              <w:end w:w="70" w:type="dxa"/>
            </w:tcMar>
            <w:vAlign w:val="top"/>
          </w:tcPr>
          <w:p>
            <w:pPr>
              <w:spacing w:after="0"/>
            </w:pPr>
            <w:r/>
            <w:r>
              <w:rPr>
                <w:rFonts w:ascii="Liberation Sans" w:hAnsi="Liberation Sans"/>
                <w:b w:val="0"/>
                <w:i w:val="0"/>
                <w:color w:val="202E3E"/>
                <w:sz w:val="15"/>
              </w:rPr>
              <w:t>Prevents duplicate ownership</w:t>
            </w:r>
          </w:p>
        </w:tc>
      </w:tr>
      <w:tr>
        <w:trPr>
          <w:cantSplit w:val="true"/>
        </w:trPr>
        <w:tc>
          <w:tcPr>
            <w:tcW w:type="dxa" w:w="144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DEC-25A-034</w:t>
            </w:r>
          </w:p>
        </w:tc>
        <w:tc>
          <w:tcPr>
            <w:tcW w:type="dxa" w:w="2376"/>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Maritime package shipping tiers and Core inclusion are not yet selected.</w:t>
            </w:r>
          </w:p>
        </w:tc>
        <w:tc>
          <w:tcPr>
            <w:tcW w:type="dxa" w:w="180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Pending Approval</w:t>
            </w:r>
          </w:p>
        </w:tc>
        <w:tc>
          <w:tcPr>
            <w:tcW w:type="dxa" w:w="2232"/>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25F/26A</w:t>
            </w:r>
          </w:p>
        </w:tc>
        <w:tc>
          <w:tcPr>
            <w:tcW w:type="dxa" w:w="180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Scope and budgets</w:t>
            </w:r>
          </w:p>
        </w:tc>
      </w:tr>
      <w:tr>
        <w:trPr>
          <w:cantSplit w:val="true"/>
        </w:trPr>
        <w:tc>
          <w:tcPr>
            <w:tcW w:type="dxa" w:w="1440"/>
            <w:tcMar>
              <w:top w:w="55" w:type="dxa"/>
              <w:start w:w="70" w:type="dxa"/>
              <w:bottom w:w="55" w:type="dxa"/>
              <w:end w:w="70" w:type="dxa"/>
            </w:tcMar>
            <w:vAlign w:val="top"/>
          </w:tcPr>
          <w:p>
            <w:pPr>
              <w:spacing w:after="0"/>
            </w:pPr>
            <w:r/>
            <w:r>
              <w:rPr>
                <w:rFonts w:ascii="Liberation Sans" w:hAnsi="Liberation Sans"/>
                <w:b w:val="0"/>
                <w:i w:val="0"/>
                <w:color w:val="202E3E"/>
                <w:sz w:val="15"/>
              </w:rPr>
              <w:t>DEC-25A-035</w:t>
            </w:r>
          </w:p>
        </w:tc>
        <w:tc>
          <w:tcPr>
            <w:tcW w:type="dxa" w:w="2376"/>
            <w:tcMar>
              <w:top w:w="55" w:type="dxa"/>
              <w:start w:w="70" w:type="dxa"/>
              <w:bottom w:w="55" w:type="dxa"/>
              <w:end w:w="70" w:type="dxa"/>
            </w:tcMar>
            <w:vAlign w:val="top"/>
          </w:tcPr>
          <w:p>
            <w:pPr>
              <w:spacing w:after="0"/>
            </w:pPr>
            <w:r/>
            <w:r>
              <w:rPr>
                <w:rFonts w:ascii="Liberation Sans" w:hAnsi="Liberation Sans"/>
                <w:b w:val="0"/>
                <w:i w:val="0"/>
                <w:color w:val="202E3E"/>
                <w:sz w:val="15"/>
              </w:rPr>
              <w:t>Set 26 installation/packaging model and removal policy are not yet selected.</w:t>
            </w:r>
          </w:p>
        </w:tc>
        <w:tc>
          <w:tcPr>
            <w:tcW w:type="dxa" w:w="1800"/>
            <w:tcMar>
              <w:top w:w="55" w:type="dxa"/>
              <w:start w:w="70" w:type="dxa"/>
              <w:bottom w:w="55" w:type="dxa"/>
              <w:end w:w="70" w:type="dxa"/>
            </w:tcMar>
            <w:vAlign w:val="top"/>
          </w:tcPr>
          <w:p>
            <w:pPr>
              <w:spacing w:after="0"/>
            </w:pPr>
            <w:r/>
            <w:r>
              <w:rPr>
                <w:rFonts w:ascii="Liberation Sans" w:hAnsi="Liberation Sans"/>
                <w:b w:val="0"/>
                <w:i w:val="0"/>
                <w:color w:val="202E3E"/>
                <w:sz w:val="15"/>
              </w:rPr>
              <w:t>Pending Approval</w:t>
            </w:r>
          </w:p>
        </w:tc>
        <w:tc>
          <w:tcPr>
            <w:tcW w:type="dxa" w:w="2232"/>
            <w:tcMar>
              <w:top w:w="55" w:type="dxa"/>
              <w:start w:w="70" w:type="dxa"/>
              <w:bottom w:w="55" w:type="dxa"/>
              <w:end w:w="70" w:type="dxa"/>
            </w:tcMar>
            <w:vAlign w:val="top"/>
          </w:tcPr>
          <w:p>
            <w:pPr>
              <w:spacing w:after="0"/>
            </w:pPr>
            <w:r/>
            <w:r>
              <w:rPr>
                <w:rFonts w:ascii="Liberation Sans" w:hAnsi="Liberation Sans"/>
                <w:b w:val="0"/>
                <w:i w:val="0"/>
                <w:color w:val="202E3E"/>
                <w:sz w:val="15"/>
              </w:rPr>
              <w:t>25D/25F/26A</w:t>
            </w:r>
          </w:p>
        </w:tc>
        <w:tc>
          <w:tcPr>
            <w:tcW w:type="dxa" w:w="1800"/>
            <w:tcMar>
              <w:top w:w="55" w:type="dxa"/>
              <w:start w:w="70" w:type="dxa"/>
              <w:bottom w:w="55" w:type="dxa"/>
              <w:end w:w="70" w:type="dxa"/>
            </w:tcMar>
            <w:vAlign w:val="top"/>
          </w:tcPr>
          <w:p>
            <w:pPr>
              <w:spacing w:after="0"/>
            </w:pPr>
            <w:r/>
            <w:r>
              <w:rPr>
                <w:rFonts w:ascii="Liberation Sans" w:hAnsi="Liberation Sans"/>
                <w:b w:val="0"/>
                <w:i w:val="0"/>
                <w:color w:val="202E3E"/>
                <w:sz w:val="15"/>
              </w:rPr>
              <w:t>Saves, release, distribution</w:t>
            </w:r>
          </w:p>
        </w:tc>
      </w:tr>
    </w:tbl>
    <w:p>
      <w:pPr>
        <w:spacing w:after="0"/>
      </w:pPr>
    </w:p>
    <w:p>
      <w:pPr>
        <w:pStyle w:val="Heading1"/>
        <w:keepNext/>
      </w:pPr>
      <w:r>
        <w:t>Appendix C. Change Request and Supersession Template</w:t>
      </w:r>
    </w:p>
    <w:tbl>
      <w:tblPr>
        <w:tblStyle w:val="TableGrid"/>
        <w:tblW w:type="auto" w:w="0"/>
        <w:jc w:val="center"/>
        <w:tblLayout w:type="fixed"/>
        <w:tblLook w:firstColumn="1" w:firstRow="1" w:lastColumn="0" w:lastRow="0" w:noHBand="0" w:noVBand="1" w:val="04A0"/>
      </w:tblPr>
      <w:tblGrid>
        <w:gridCol w:w="4915"/>
        <w:gridCol w:w="4915"/>
      </w:tblGrid>
      <w:tr>
        <w:trPr>
          <w:tblHeader w:val="true"/>
          <w:cantSplit w:val="true"/>
        </w:trPr>
        <w:tc>
          <w:tcPr>
            <w:tcW w:type="dxa" w:w="2520"/>
            <w:shd w:fill="1F4E78"/>
            <w:tcMar>
              <w:top w:w="55" w:type="dxa"/>
              <w:start w:w="70" w:type="dxa"/>
              <w:bottom w:w="55" w:type="dxa"/>
              <w:end w:w="70" w:type="dxa"/>
            </w:tcMar>
            <w:vAlign w:val="center"/>
          </w:tcPr>
          <w:p>
            <w:pPr>
              <w:spacing w:after="0"/>
            </w:pPr>
            <w:r/>
            <w:r>
              <w:rPr>
                <w:rFonts w:ascii="Liberation Sans" w:hAnsi="Liberation Sans"/>
                <w:b/>
                <w:i w:val="0"/>
                <w:color w:val="FFFFFF"/>
                <w:sz w:val="16"/>
              </w:rPr>
              <w:t>Field</w:t>
            </w:r>
          </w:p>
        </w:tc>
        <w:tc>
          <w:tcPr>
            <w:tcW w:type="dxa" w:w="7128"/>
            <w:shd w:fill="1F4E78"/>
            <w:tcMar>
              <w:top w:w="55" w:type="dxa"/>
              <w:start w:w="70" w:type="dxa"/>
              <w:bottom w:w="55" w:type="dxa"/>
              <w:end w:w="70" w:type="dxa"/>
            </w:tcMar>
            <w:vAlign w:val="center"/>
          </w:tcPr>
          <w:p>
            <w:pPr>
              <w:spacing w:after="0"/>
            </w:pPr>
            <w:r/>
            <w:r>
              <w:rPr>
                <w:rFonts w:ascii="Liberation Sans" w:hAnsi="Liberation Sans"/>
                <w:b/>
                <w:i w:val="0"/>
                <w:color w:val="FFFFFF"/>
                <w:sz w:val="16"/>
              </w:rPr>
              <w:t>Required Entry</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Change ID and Title</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Unique identifier and concise outcome.</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Requested By / Date</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Originator and submission date.</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Affected Sources</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Document versions, sections, schemas, packs, IDs, code, assets and tests.</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Current Rule</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Exact active source-of-truth statement.</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Proposed Rule</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Replacement wording or contract.</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Reason</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Player-facing, technical, production, safety or compatibility rationale.</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Options Considered</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Alternatives and no-change option.</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Dependency Impact</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Systems, packages, assets, tasks and milestones affected.</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Save/Migration Impact</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Aliases, tombstones, conversions, worldgen versioning and recovery.</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Validation Plan</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Tests and evidence required before approval.</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Decision Authority</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Required approver and reviewers.</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Outcome</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Approved, rejected, deferred or revised; includes supersession links.</w:t>
            </w:r>
          </w:p>
        </w:tc>
      </w:tr>
    </w:tbl>
    <w:p>
      <w:pPr>
        <w:spacing w:after="0"/>
      </w:pPr>
    </w:p>
    <w:p>
      <w:pPr>
        <w:pStyle w:val="Heading1"/>
        <w:keepNext/>
      </w:pPr>
      <w:r>
        <w:t>Appendix D. Production Baseline Checklist</w:t>
      </w:r>
    </w:p>
    <w:p>
      <w:pPr>
        <w:pStyle w:val="Compact"/>
        <w:ind w:left="245" w:hanging="202"/>
      </w:pPr>
      <w:r>
        <w:rPr>
          <w:rFonts w:ascii="Liberation Sans" w:hAnsi="Liberation Sans"/>
          <w:b w:val="0"/>
          <w:i w:val="0"/>
          <w:color w:val="202E3E"/>
          <w:sz w:val="17"/>
        </w:rPr>
        <w:t>• ☐ Final POC-validating build and source branch tagged.</w:t>
      </w:r>
    </w:p>
    <w:p>
      <w:pPr>
        <w:pStyle w:val="Compact"/>
        <w:ind w:left="245" w:hanging="202"/>
      </w:pPr>
      <w:r>
        <w:rPr>
          <w:rFonts w:ascii="Liberation Sans" w:hAnsi="Liberation Sans"/>
          <w:b w:val="0"/>
          <w:i w:val="0"/>
          <w:color w:val="202E3E"/>
          <w:sz w:val="17"/>
        </w:rPr>
        <w:t>• ☐ POC documents, assets, scenes, registries, code and saves inventoried.</w:t>
      </w:r>
    </w:p>
    <w:p>
      <w:pPr>
        <w:pStyle w:val="Compact"/>
        <w:ind w:left="245" w:hanging="202"/>
      </w:pPr>
      <w:r>
        <w:rPr>
          <w:rFonts w:ascii="Liberation Sans" w:hAnsi="Liberation Sans"/>
          <w:b w:val="0"/>
          <w:i w:val="0"/>
          <w:color w:val="202E3E"/>
          <w:sz w:val="17"/>
        </w:rPr>
        <w:t>• ☐ Archive/test pack namespace reserved and blocked from production packs.</w:t>
      </w:r>
    </w:p>
    <w:p>
      <w:pPr>
        <w:pStyle w:val="Compact"/>
        <w:ind w:left="245" w:hanging="202"/>
      </w:pPr>
      <w:r>
        <w:rPr>
          <w:rFonts w:ascii="Liberation Sans" w:hAnsi="Liberation Sans"/>
          <w:b w:val="0"/>
          <w:i w:val="0"/>
          <w:color w:val="202E3E"/>
          <w:sz w:val="17"/>
        </w:rPr>
        <w:t>• ☐ Normal production manifests contain no POC IDs or assets.</w:t>
      </w:r>
    </w:p>
    <w:p>
      <w:pPr>
        <w:pStyle w:val="Compact"/>
        <w:ind w:left="245" w:hanging="202"/>
      </w:pPr>
      <w:r>
        <w:rPr>
          <w:rFonts w:ascii="Liberation Sans" w:hAnsi="Liberation Sans"/>
          <w:b w:val="0"/>
          <w:i w:val="0"/>
          <w:color w:val="202E3E"/>
          <w:sz w:val="17"/>
        </w:rPr>
        <w:t>• ☐ Production branch loads with the archive pack disabled.</w:t>
      </w:r>
    </w:p>
    <w:p>
      <w:pPr>
        <w:pStyle w:val="Compact"/>
        <w:ind w:left="245" w:hanging="202"/>
      </w:pPr>
      <w:r>
        <w:rPr>
          <w:rFonts w:ascii="Liberation Sans" w:hAnsi="Liberation Sans"/>
          <w:b w:val="0"/>
          <w:i w:val="0"/>
          <w:color w:val="202E3E"/>
          <w:sz w:val="17"/>
        </w:rPr>
        <w:t>• ☐ POC fixtures remain runnable in an explicit test profile.</w:t>
      </w:r>
    </w:p>
    <w:p>
      <w:pPr>
        <w:pStyle w:val="Compact"/>
        <w:ind w:left="245" w:hanging="202"/>
      </w:pPr>
      <w:r>
        <w:rPr>
          <w:rFonts w:ascii="Liberation Sans" w:hAnsi="Liberation Sans"/>
          <w:b w:val="0"/>
          <w:i w:val="0"/>
          <w:color w:val="202E3E"/>
          <w:sz w:val="17"/>
        </w:rPr>
        <w:t>• ☐ Production save epoch, schema version and generation version recorded.</w:t>
      </w:r>
    </w:p>
    <w:p>
      <w:pPr>
        <w:pStyle w:val="Compact"/>
        <w:ind w:left="245" w:hanging="202"/>
      </w:pPr>
      <w:r>
        <w:rPr>
          <w:rFonts w:ascii="Liberation Sans" w:hAnsi="Liberation Sans"/>
          <w:b w:val="0"/>
          <w:i w:val="0"/>
          <w:color w:val="202E3E"/>
          <w:sz w:val="17"/>
        </w:rPr>
        <w:t>• ☐ Active source document index identifies one authority per document number.</w:t>
      </w:r>
    </w:p>
    <w:p>
      <w:pPr>
        <w:pStyle w:val="Compact"/>
        <w:ind w:left="245" w:hanging="202"/>
      </w:pPr>
      <w:r>
        <w:rPr>
          <w:rFonts w:ascii="Liberation Sans" w:hAnsi="Liberation Sans"/>
          <w:b w:val="0"/>
          <w:i w:val="0"/>
          <w:color w:val="202E3E"/>
          <w:sz w:val="17"/>
        </w:rPr>
        <w:t>• ☐ Contradictions and pending decisions are entered in the register.</w:t>
      </w:r>
    </w:p>
    <w:p>
      <w:pPr>
        <w:pStyle w:val="Compact"/>
        <w:ind w:left="245" w:hanging="202"/>
      </w:pPr>
      <w:r>
        <w:rPr>
          <w:rFonts w:ascii="Liberation Sans" w:hAnsi="Liberation Sans"/>
          <w:b w:val="0"/>
          <w:i w:val="0"/>
          <w:color w:val="202E3E"/>
          <w:sz w:val="17"/>
        </w:rPr>
        <w:t>• ☐ 25B prerequisites and unresolved approval dependencies are known.</w:t>
      </w:r>
    </w:p>
    <w:p>
      <w:pPr>
        <w:pStyle w:val="Compact"/>
        <w:ind w:left="245" w:hanging="202"/>
      </w:pPr>
      <w:r>
        <w:rPr>
          <w:rFonts w:ascii="Liberation Sans" w:hAnsi="Liberation Sans"/>
          <w:b w:val="0"/>
          <w:i w:val="0"/>
          <w:color w:val="202E3E"/>
          <w:sz w:val="17"/>
        </w:rPr>
        <w:t>• ☐ Document Set 26 is recorded as a separate approved programme with no ownership transfer into Set 25.</w:t>
      </w:r>
    </w:p>
    <w:p>
      <w:pPr>
        <w:pStyle w:val="Compact"/>
        <w:ind w:left="245" w:hanging="202"/>
      </w:pPr>
      <w:r>
        <w:rPr>
          <w:rFonts w:ascii="Liberation Sans" w:hAnsi="Liberation Sans"/>
          <w:b w:val="0"/>
          <w:i w:val="0"/>
          <w:color w:val="202E3E"/>
          <w:sz w:val="17"/>
        </w:rPr>
        <w:t>• ☐ 25B v0.2 stability is confirmed before registry-heavy Set 26 contracts are frozen.</w:t>
      </w:r>
    </w:p>
    <w:p>
      <w:pPr>
        <w:pStyle w:val="Compact"/>
        <w:ind w:left="245" w:hanging="202"/>
      </w:pPr>
      <w:r>
        <w:rPr>
          <w:rFonts w:ascii="Liberation Sans" w:hAnsi="Liberation Sans"/>
          <w:b w:val="0"/>
          <w:i w:val="0"/>
          <w:color w:val="202E3E"/>
          <w:sz w:val="17"/>
        </w:rPr>
        <w:t>• ☐ Set 26 dependency, amendment and integration-debt records have named owners.</w:t>
      </w:r>
    </w:p>
    <w:p>
      <w:pPr>
        <w:pStyle w:val="Compact"/>
        <w:ind w:left="245" w:hanging="202"/>
      </w:pPr>
      <w:r>
        <w:rPr>
          <w:rFonts w:ascii="Liberation Sans" w:hAnsi="Liberation Sans"/>
          <w:b w:val="0"/>
          <w:i w:val="0"/>
          <w:color w:val="202E3E"/>
          <w:sz w:val="17"/>
        </w:rPr>
        <w:t>• ☐ Optional expansion presence, absence, version mismatch and removal profiles are included in 25D/25E planning.</w:t>
      </w:r>
    </w:p>
    <w:p>
      <w:pPr>
        <w:pStyle w:val="Compact"/>
        <w:ind w:left="245" w:hanging="202"/>
      </w:pPr>
      <w:r>
        <w:rPr>
          <w:rFonts w:ascii="Liberation Sans" w:hAnsi="Liberation Sans"/>
          <w:b w:val="0"/>
          <w:i w:val="0"/>
          <w:color w:val="202E3E"/>
          <w:sz w:val="17"/>
        </w:rPr>
        <w:t>• ☐ Final 25L closure is explicitly gated on Set 26 admission or approved deferral/exclusion.</w:t>
      </w:r>
    </w:p>
    <w:p>
      <w:pPr>
        <w:pStyle w:val="Heading1"/>
        <w:keepNext/>
      </w:pPr>
      <w:r>
        <w:t>Appendix E. Document 25A Acceptance Criteria</w:t>
      </w:r>
    </w:p>
    <w:tbl>
      <w:tblPr>
        <w:tblStyle w:val="TableGrid"/>
        <w:tblW w:type="auto" w:w="0"/>
        <w:jc w:val="center"/>
        <w:tblLayout w:type="fixed"/>
        <w:tblLook w:firstColumn="1" w:firstRow="1" w:lastColumn="0" w:lastRow="0" w:noHBand="0" w:noVBand="1" w:val="04A0"/>
      </w:tblPr>
      <w:tblGrid>
        <w:gridCol w:w="4915"/>
        <w:gridCol w:w="4915"/>
      </w:tblGrid>
      <w:tr>
        <w:trPr>
          <w:tblHeader w:val="true"/>
          <w:cantSplit w:val="true"/>
        </w:trPr>
        <w:tc>
          <w:tcPr>
            <w:tcW w:type="dxa" w:w="2520"/>
            <w:shd w:fill="1F4E78"/>
            <w:tcMar>
              <w:top w:w="55" w:type="dxa"/>
              <w:start w:w="70" w:type="dxa"/>
              <w:bottom w:w="55" w:type="dxa"/>
              <w:end w:w="70" w:type="dxa"/>
            </w:tcMar>
            <w:vAlign w:val="center"/>
          </w:tcPr>
          <w:p>
            <w:pPr>
              <w:spacing w:after="0"/>
            </w:pPr>
            <w:r/>
            <w:r>
              <w:rPr>
                <w:rFonts w:ascii="Liberation Sans" w:hAnsi="Liberation Sans"/>
                <w:b/>
                <w:i w:val="0"/>
                <w:color w:val="FFFFFF"/>
                <w:sz w:val="16"/>
              </w:rPr>
              <w:t>Acceptance Area</w:t>
            </w:r>
          </w:p>
        </w:tc>
        <w:tc>
          <w:tcPr>
            <w:tcW w:type="dxa" w:w="7128"/>
            <w:shd w:fill="1F4E78"/>
            <w:tcMar>
              <w:top w:w="55" w:type="dxa"/>
              <w:start w:w="70" w:type="dxa"/>
              <w:bottom w:w="55" w:type="dxa"/>
              <w:end w:w="70" w:type="dxa"/>
            </w:tcMar>
            <w:vAlign w:val="center"/>
          </w:tcPr>
          <w:p>
            <w:pPr>
              <w:spacing w:after="0"/>
            </w:pPr>
            <w:r/>
            <w:r>
              <w:rPr>
                <w:rFonts w:ascii="Liberation Sans" w:hAnsi="Liberation Sans"/>
                <w:b/>
                <w:i w:val="0"/>
                <w:color w:val="FFFFFF"/>
                <w:sz w:val="16"/>
              </w:rPr>
              <w:t>Pass Condition</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Scope</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Defines governance, POC retirement, archive/test separation, decision control and production-entry rules without beginning implementation.</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Authority</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Preserves Ash’s final authority and the source-of-truth boundaries of 24A-24L and the main documents.</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POC Supersession</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Explicitly removes all fixed POC identities and arrangements from normal production while retaining reusable mechanics and regression fixtures.</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Lifecycle</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Adopts evidence-based production statuses and milestone tiers from 24L.</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Change Safety</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Defines versioning, supersession, compatibility and migration review requirements.</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Document Programme</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Maps all 25A-25L documents and the main-document revision/replacement treatments.</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Expansion Governance</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Formally recognises Set 26 while preserving separate ownership and preventing maritime design duplication.</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Parallel Development</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Defines what may proceed before and after 25B-25E stability and prevents incompatible registry or technical assumptions.</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Integration Closure</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Defines downstream amendment tracking, cross-pack gates and the conditions that delay final 25L closure.</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Implementation Boundary</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Confirms Godot/Summer Engine direction but does not falsely claim implementation readiness.</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Decision Transparency</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Separates locked, approved-baseline, pending, deferred, rejected and superseded decisions.</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Next-Step Readiness</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Provides an actionable handoff to amended Document 25B v0.2 and then 25C without requiring Blocks, Items, Recipes, maritime registries or assets to begin early.</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Human Approval</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Ready for Ash to approve, amend or supersede before Document 25B is amended and Set 25 continues.</w:t>
            </w:r>
          </w:p>
        </w:tc>
      </w:tr>
    </w:tbl>
    <w:p>
      <w:pPr>
        <w:spacing w:after="0"/>
      </w:pPr>
    </w:p>
    <w:p>
      <w:pPr>
        <w:pStyle w:val="Heading1"/>
        <w:keepNext/>
      </w:pPr>
      <w:r>
        <w:t>Appendix F. Set 26 Integration Checkpoint Register</w:t>
      </w:r>
    </w:p>
    <w:tbl>
      <w:tblPr>
        <w:tblStyle w:val="TableGrid"/>
        <w:tblW w:type="auto" w:w="0"/>
        <w:jc w:val="center"/>
        <w:tblLayout w:type="fixed"/>
        <w:tblLook w:firstColumn="1" w:firstRow="1" w:lastColumn="0" w:lastRow="0" w:noHBand="0" w:noVBand="1" w:val="04A0"/>
      </w:tblPr>
      <w:tblGrid>
        <w:gridCol w:w="4915"/>
        <w:gridCol w:w="4915"/>
      </w:tblGrid>
      <w:tr>
        <w:trPr>
          <w:tblHeader w:val="true"/>
          <w:cantSplit w:val="true"/>
        </w:trPr>
        <w:tc>
          <w:tcPr>
            <w:tcW w:type="dxa" w:w="2520"/>
            <w:shd w:fill="1F4E78"/>
            <w:tcMar>
              <w:top w:w="55" w:type="dxa"/>
              <w:start w:w="70" w:type="dxa"/>
              <w:bottom w:w="55" w:type="dxa"/>
              <w:end w:w="70" w:type="dxa"/>
            </w:tcMar>
            <w:vAlign w:val="center"/>
          </w:tcPr>
          <w:p>
            <w:pPr>
              <w:spacing w:after="0"/>
            </w:pPr>
            <w:r/>
            <w:r>
              <w:rPr>
                <w:rFonts w:ascii="Liberation Sans" w:hAnsi="Liberation Sans"/>
                <w:b/>
                <w:i w:val="0"/>
                <w:color w:val="FFFFFF"/>
                <w:sz w:val="16"/>
              </w:rPr>
              <w:t>Record Field</w:t>
            </w:r>
          </w:p>
        </w:tc>
        <w:tc>
          <w:tcPr>
            <w:tcW w:type="dxa" w:w="7128"/>
            <w:shd w:fill="1F4E78"/>
            <w:tcMar>
              <w:top w:w="55" w:type="dxa"/>
              <w:start w:w="70" w:type="dxa"/>
              <w:bottom w:w="55" w:type="dxa"/>
              <w:end w:w="70" w:type="dxa"/>
            </w:tcMar>
            <w:vAlign w:val="center"/>
          </w:tcPr>
          <w:p>
            <w:pPr>
              <w:spacing w:after="0"/>
            </w:pPr>
            <w:r/>
            <w:r>
              <w:rPr>
                <w:rFonts w:ascii="Liberation Sans" w:hAnsi="Liberation Sans"/>
                <w:b/>
                <w:i w:val="0"/>
                <w:color w:val="FFFFFF"/>
                <w:sz w:val="16"/>
              </w:rPr>
              <w:t>Required Entry</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Integration ID</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Unique cross-set record.</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Set 26 Source</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Exact document, version, section and status.</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Consuming Authority</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Set 25 document, main document, registry, Forge record or technical plan.</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Dependency Type</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Required, optional, recommended, development-only, mutually exclusive or deferred.</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Identity/Schema Impact</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Namespace, domain, facet, relationship, state or extension-schema requirements.</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Physical Content Impact</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Blocks, items, recipes, resources, drops, structures, assets or runtime records affected.</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Save/Migration Impact</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Pack presence, version change, removal, tombstone, quarantine, restoration or world insertion policy.</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Validation</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Schema, cross-pack, seed, progression, gameplay, authority, LOD, performance and recovery tests.</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Amendment Status</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Unreviewed, mapped, drafting, approved, integrated, deferred, excluded or superseded.</w:t>
            </w:r>
          </w:p>
        </w:tc>
      </w:tr>
      <w:tr>
        <w:trPr>
          <w:cantSplit w:val="true"/>
        </w:trPr>
        <w:tc>
          <w:tcPr>
            <w:tcW w:type="dxa" w:w="2520"/>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Closure Effect</w:t>
            </w:r>
          </w:p>
        </w:tc>
        <w:tc>
          <w:tcPr>
            <w:tcW w:type="dxa" w:w="7128"/>
            <w:tcMar>
              <w:top w:w="55" w:type="dxa"/>
              <w:start w:w="70" w:type="dxa"/>
              <w:bottom w:w="55" w:type="dxa"/>
              <w:end w:w="70" w:type="dxa"/>
            </w:tcMar>
            <w:vAlign w:val="top"/>
            <w:shd w:fill="EEF3F7"/>
          </w:tcPr>
          <w:p>
            <w:pPr>
              <w:spacing w:after="0"/>
            </w:pPr>
            <w:r/>
            <w:r>
              <w:rPr>
                <w:rFonts w:ascii="Liberation Sans" w:hAnsi="Liberation Sans"/>
                <w:b w:val="0"/>
                <w:i w:val="0"/>
                <w:color w:val="202E3E"/>
                <w:sz w:val="15"/>
              </w:rPr>
              <w:t>Whether the record blocks 25L final closure and what evidence clears it.</w:t>
            </w:r>
          </w:p>
        </w:tc>
      </w:tr>
      <w:tr>
        <w:trPr>
          <w:cantSplit w:val="true"/>
        </w:trPr>
        <w:tc>
          <w:tcPr>
            <w:tcW w:type="dxa" w:w="2520"/>
            <w:tcMar>
              <w:top w:w="55" w:type="dxa"/>
              <w:start w:w="70" w:type="dxa"/>
              <w:bottom w:w="55" w:type="dxa"/>
              <w:end w:w="70" w:type="dxa"/>
            </w:tcMar>
            <w:vAlign w:val="top"/>
          </w:tcPr>
          <w:p>
            <w:pPr>
              <w:spacing w:after="0"/>
            </w:pPr>
            <w:r/>
            <w:r>
              <w:rPr>
                <w:rFonts w:ascii="Liberation Sans" w:hAnsi="Liberation Sans"/>
                <w:b w:val="0"/>
                <w:i w:val="0"/>
                <w:color w:val="202E3E"/>
                <w:sz w:val="15"/>
              </w:rPr>
              <w:t>Owner and Approval</w:t>
            </w:r>
          </w:p>
        </w:tc>
        <w:tc>
          <w:tcPr>
            <w:tcW w:type="dxa" w:w="7128"/>
            <w:tcMar>
              <w:top w:w="55" w:type="dxa"/>
              <w:start w:w="70" w:type="dxa"/>
              <w:bottom w:w="55" w:type="dxa"/>
              <w:end w:w="70" w:type="dxa"/>
            </w:tcMar>
            <w:vAlign w:val="top"/>
          </w:tcPr>
          <w:p>
            <w:pPr>
              <w:spacing w:after="0"/>
            </w:pPr>
            <w:r/>
            <w:r>
              <w:rPr>
                <w:rFonts w:ascii="Liberation Sans" w:hAnsi="Liberation Sans"/>
                <w:b w:val="0"/>
                <w:i w:val="0"/>
                <w:color w:val="202E3E"/>
                <w:sz w:val="15"/>
              </w:rPr>
              <w:t>Responsible owner, reviewer, Ash decision if required and date/version.</w:t>
            </w:r>
          </w:p>
        </w:tc>
      </w:tr>
    </w:tbl>
    <w:p>
      <w:pPr>
        <w:spacing w:after="0"/>
      </w:pPr>
    </w:p>
    <w:tbl>
      <w:tblPr>
        <w:tblW w:type="auto" w:w="0"/>
        <w:jc w:val="center"/>
        <w:tblLayout w:type="fixed"/>
        <w:tblLook w:firstColumn="1" w:firstRow="1" w:lastColumn="0" w:lastRow="0" w:noHBand="0" w:noVBand="1" w:val="04A0"/>
      </w:tblPr>
      <w:tblGrid>
        <w:gridCol w:w="9831"/>
      </w:tblGrid>
      <w:tr>
        <w:tc>
          <w:tcPr>
            <w:tcW w:type="dxa" w:w="9648"/>
            <w:tcMar>
              <w:top w:w="75" w:type="dxa"/>
              <w:start w:w="90" w:type="dxa"/>
              <w:bottom w:w="75" w:type="dxa"/>
              <w:end w:w="90" w:type="dxa"/>
            </w:tcMar>
            <w:shd w:fill="1F4E78"/>
          </w:tcPr>
          <w:p>
            <w:r/>
            <w:r>
              <w:rPr>
                <w:rFonts w:ascii="Liberation Sans" w:hAnsi="Liberation Sans"/>
                <w:b/>
                <w:i w:val="0"/>
                <w:color w:val="FFFFFF"/>
                <w:sz w:val="18"/>
              </w:rPr>
              <w:t>Document 25A Completion Statement</w:t>
            </w:r>
          </w:p>
        </w:tc>
      </w:tr>
      <w:tr>
        <w:tc>
          <w:tcPr>
            <w:tcW w:type="dxa" w:w="9648"/>
            <w:tcMar>
              <w:top w:w="75" w:type="dxa"/>
              <w:start w:w="90" w:type="dxa"/>
              <w:bottom w:w="75" w:type="dxa"/>
              <w:end w:w="90" w:type="dxa"/>
            </w:tcMar>
            <w:shd w:fill="DCE6F1"/>
          </w:tcPr>
          <w:p>
            <w:r/>
            <w:r>
              <w:rPr>
                <w:rFonts w:ascii="Liberation Sans" w:hAnsi="Liberation Sans"/>
                <w:b w:val="0"/>
                <w:i w:val="0"/>
                <w:color w:val="202E3E"/>
                <w:sz w:val="17"/>
              </w:rPr>
              <w:t>Document 25A v0.2 establishes the clean governance baseline for the post-Atlas production phase and the controlled admission path for Document Set 26. The proof of concept remains isolated as archived validation material; source-of-truth ownership and decision rights are explicit; production status and tier rules are evidence-based; maritime design remains in Set 26; parallel development is gated by the stable Registry Kernel; and final Set 25 closure now requires transparent Set 26 integration, deferral or exclusion. The project can amend Document 25B without beginning premature physical-registry expansion or implementation.</w:t>
            </w:r>
          </w:p>
        </w:tc>
      </w:tr>
    </w:tbl>
    <w:p>
      <w:pPr>
        <w:spacing w:after="0"/>
      </w:pPr>
    </w:p>
    <w:p>
      <w:pPr>
        <w:widowControl/>
      </w:pPr>
      <w:r>
        <w:rPr>
          <w:rFonts w:ascii="Liberation Sans" w:hAnsi="Liberation Sans"/>
          <w:b w:val="0"/>
          <w:i/>
          <w:color w:val="202E3E"/>
          <w:sz w:val="18"/>
        </w:rPr>
        <w:t>End of Document 25A - Post-Atlas Production Governance, POC Retirement Baseline and Decision Register v0.2</w:t>
      </w:r>
    </w:p>
    <w:sectPr w:rsidR="00FC693F" w:rsidRPr="0006063C" w:rsidSect="00034616">
      <w:headerReference w:type="default" r:id="rId9"/>
      <w:footerReference w:type="default" r:id="rId10"/>
      <w:pgSz w:w="11905" w:h="16838"/>
      <w:pgMar w:top="965" w:right="1037" w:bottom="893"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3744"/>
      <w:gridCol w:w="4176"/>
      <w:gridCol w:w="1872"/>
    </w:tblGrid>
    <w:tr>
      <w:tc>
        <w:tcPr>
          <w:tcW w:type="dxa" w:w="3274"/>
          <w:tcMar>
            <w:top w:w="0" w:type="dxa"/>
            <w:start w:w="0" w:type="dxa"/>
            <w:bottom w:w="0" w:type="dxa"/>
            <w:end w:w="0" w:type="dxa"/>
          </w:tcMar>
          <w:tcBorders>
            <w:top w:val="nil"/>
            <w:left w:val="nil"/>
            <w:bottom w:val="nil"/>
            <w:right w:val="nil"/>
          </w:tcBorders>
        </w:tcPr>
        <w:p>
          <w:pPr>
            <w:jc w:val="left"/>
          </w:pPr>
          <w:r>
            <w:rPr>
              <w:rFonts w:ascii="Liberation Sans" w:hAnsi="Liberation Sans"/>
              <w:b w:val="0"/>
              <w:i w:val="0"/>
              <w:color w:val="5F6973"/>
              <w:sz w:val="14"/>
            </w:rPr>
            <w:t>Fantasy Voxel Civilisation Sandbox</w:t>
          </w:r>
        </w:p>
      </w:tc>
      <w:tc>
        <w:tcPr>
          <w:tcW w:type="dxa" w:w="3274"/>
          <w:tcMar>
            <w:top w:w="0" w:type="dxa"/>
            <w:start w:w="0" w:type="dxa"/>
            <w:bottom w:w="0" w:type="dxa"/>
            <w:end w:w="0" w:type="dxa"/>
          </w:tcMar>
          <w:tcBorders>
            <w:top w:val="nil"/>
            <w:left w:val="nil"/>
            <w:bottom w:val="nil"/>
            <w:right w:val="nil"/>
          </w:tcBorders>
        </w:tcPr>
        <w:p>
          <w:pPr>
            <w:jc w:val="center"/>
          </w:pPr>
          <w:r>
            <w:rPr>
              <w:rFonts w:ascii="Liberation Sans" w:hAnsi="Liberation Sans"/>
              <w:b w:val="0"/>
              <w:i w:val="0"/>
              <w:color w:val="5F6973"/>
              <w:sz w:val="14"/>
            </w:rPr>
            <w:t>Version 0.2 - Maritime Integration Amendment</w:t>
          </w:r>
        </w:p>
      </w:tc>
      <w:tc>
        <w:tcPr>
          <w:tcW w:type="dxa" w:w="3274"/>
          <w:tcMar>
            <w:top w:w="0" w:type="dxa"/>
            <w:start w:w="0" w:type="dxa"/>
            <w:bottom w:w="0" w:type="dxa"/>
            <w:end w:w="0" w:type="dxa"/>
          </w:tcMar>
          <w:tcBorders>
            <w:top w:val="nil"/>
            <w:left w:val="nil"/>
            <w:bottom w:val="nil"/>
            <w:right w:val="nil"/>
          </w:tcBorders>
        </w:tcPr>
        <w:p>
          <w:pPr>
            <w:jc w:val="right"/>
          </w:pPr>
          <w:r>
            <w:rPr>
              <w:rFonts w:ascii="Liberation Sans" w:hAnsi="Liberation Sans"/>
              <w:b w:val="0"/>
              <w:i w:val="0"/>
              <w:color w:val="5F6973"/>
              <w:sz w:val="14"/>
            </w:rPr>
            <w:t xml:space="preserve">Page </w:t>
          </w:r>
          <w:r>
            <w:rPr>
              <w:rFonts w:ascii="Liberation Sans" w:hAnsi="Liberation Sans"/>
              <w:b w:val="0"/>
              <w:i w:val="0"/>
              <w:color w:val="5F6973"/>
              <w:sz w:val="14"/>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Liberation Sans" w:hAnsi="Liberation Sans"/>
        <w:b/>
        <w:i w:val="0"/>
        <w:color w:val="5F6973"/>
        <w:sz w:val="14"/>
      </w:rPr>
      <w:t>LEYFORGE  |  DOCUMENT 25A  |  PRODUCTION GOVERNANCE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Liberation Sans" w:hAnsi="Liberation Sans"/>
      <w:color w:val="202E3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Liberation Sans" w:hAnsi="Liberation Sans"/>
      <w:b/>
      <w:bCs/>
      <w:color w:val="1F4E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Liberation Sans" w:hAnsi="Liberation Sans"/>
      <w:b/>
      <w:color w:val="1F4E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Liberation Sans" w:hAnsi="Liberation Sans"/>
      <w:b/>
      <w:i/>
      <w:iCs/>
      <w:color w:val="5F69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
    <w:name w:val="Compact"/>
    <w:pPr>
      <w:spacing w:after="50" w:line="245" w:lineRule="auto"/>
    </w:pPr>
    <w:rPr>
      <w:rFonts w:ascii="Liberation Sans" w:hAnsi="Liberation Sans"/>
      <w:color w:val="202E3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25A - Post-Atlas Production Governance, POC Retirement Baseline and Decision Register v0.2</dc:title>
  <dc:subject>Leyforge Document Set 25 - Maritime Integration Amendment</dc:subject>
  <dc:creator>Ash; GPT-5.6 Thinking</dc:creator>
  <cp:keywords>Leyforge, production governance, POC retirement, Document Set 26, maritime integration, Godot, Summer Engine</cp:keywords>
  <dc:description>Production governance foundation for Document Set 25.</dc:description>
  <cp:lastModifiedBy/>
  <cp:revision>1</cp:revision>
  <dcterms:created xsi:type="dcterms:W3CDTF">2013-12-23T23:15:00Z</dcterms:created>
  <dcterms:modified xsi:type="dcterms:W3CDTF">2013-12-23T23:15:00Z</dcterms:modified>
  <cp:category/>
</cp:coreProperties>
</file>