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widowControl/>
      </w:pPr>
      <w:r>
        <w:t>Leyforge Document Sets 27-30 - Final Cross-Set Reconciliation and Integration Report</w:t>
      </w:r>
    </w:p>
    <w:p>
      <w:pPr>
        <w:pStyle w:val="BodyText"/>
        <w:widowControl/>
      </w:pPr>
      <w:r>
        <w:rPr>
          <w:b/>
        </w:rPr>
        <w:t>Revision:</w:t>
      </w:r>
      <w:r>
        <w:t xml:space="preserve"> 1.1 / Package Integration v0.2</w:t>
      </w:r>
    </w:p>
    <w:p>
      <w:pPr>
        <w:pStyle w:val="BodyText"/>
        <w:widowControl/>
      </w:pPr>
      <w:r>
        <w:rPr>
          <w:b/>
        </w:rPr>
        <w:t>Date:</w:t>
      </w:r>
      <w:r>
        <w:t xml:space="preserve"> 8 August 2026</w:t>
      </w:r>
    </w:p>
    <w:p>
      <w:pPr>
        <w:pStyle w:val="BodyText"/>
        <w:widowControl/>
      </w:pPr>
      <w:r>
        <w:rPr>
          <w:b/>
        </w:rPr>
        <w:t>Sets Reviewed:</w:t>
      </w:r>
      <w:r>
        <w:t xml:space="preserve"> 27, 28, 29 and 30</w:t>
      </w:r>
    </w:p>
    <w:p>
      <w:pPr>
        <w:pStyle w:val="BodyText"/>
        <w:widowControl/>
      </w:pPr>
      <w:r>
        <w:rPr>
          <w:b/>
        </w:rPr>
        <w:t>Additional dependency reviewed:</w:t>
      </w:r>
      <w:r>
        <w:t xml:space="preserve"> Document 26E - Swimming, Diving and Underwater Player Interaction</w:t>
      </w:r>
    </w:p>
    <w:p>
      <w:pPr>
        <w:pStyle w:val="Heading1"/>
        <w:keepNext/>
        <w:widowControl/>
      </w:pPr>
      <w:r>
        <w:t>1. Executive Result</w:t>
      </w:r>
    </w:p>
    <w:p>
      <w:pPr>
        <w:pStyle w:val="BodyText"/>
        <w:widowControl/>
      </w:pPr>
      <w:r>
        <w:t>The final design reconciliation pass is complete.</w:t>
      </w:r>
    </w:p>
    <w:p>
      <w:pPr>
        <w:pStyle w:val="BodyText"/>
        <w:widowControl/>
      </w:pPr>
      <w:r>
        <w:t>The four document sets were already strongly aligned: they consistently separated economic, social, biological and movement authority. The pass found one genuine ownership collision and several duplicated interface proposals created because the sets were drafted in parallel.</w:t>
      </w:r>
    </w:p>
    <w:p>
      <w:pPr>
        <w:pStyle w:val="BodyText"/>
        <w:widowControl/>
      </w:pPr>
      <w:r>
        <w:t>The result is:</w:t>
      </w:r>
    </w:p>
    <w:p>
      <w:pPr>
        <w:pStyle w:val="ListBullet"/>
        <w:widowControl/>
      </w:pPr>
      <w:r>
        <w:rPr>
          <w:b/>
        </w:rPr>
        <w:t>XSI-30-001 is resolved.</w:t>
      </w:r>
      <w:r>
        <w:t xml:space="preserve"> Detailed swimming remains owned by 26E; Set 30 keeps the universal </w:t>
      </w:r>
      <w:r>
        <w:rPr>
          <w:rFonts w:ascii="Consolas" w:hAnsi="Consolas"/>
          <w:sz w:val="17"/>
        </w:rPr>
        <w:t>Aquatic</w:t>
      </w:r>
      <w:r>
        <w:t xml:space="preserve"> movement facade and cross-medium transition/API responsibilities.</w:t>
      </w:r>
    </w:p>
    <w:p>
      <w:pPr>
        <w:pStyle w:val="ListBullet"/>
        <w:widowControl/>
      </w:pPr>
      <w:r>
        <w:t xml:space="preserve">Set 27 caravan/guided-transport requests and Set 30 physical execution are consolidated into one </w:t>
      </w:r>
      <w:r>
        <w:rPr>
          <w:rFonts w:ascii="Consolas" w:hAnsi="Consolas"/>
          <w:sz w:val="17"/>
        </w:rPr>
        <w:t>TransportMissionRequest</w:t>
      </w:r>
      <w:r>
        <w:t xml:space="preserve"> / </w:t>
      </w:r>
      <w:r>
        <w:rPr>
          <w:rFonts w:ascii="Consolas" w:hAnsi="Consolas"/>
          <w:sz w:val="17"/>
        </w:rPr>
        <w:t>TransportExecutionSnapshot</w:t>
      </w:r>
      <w:r>
        <w:t xml:space="preserve"> family.</w:t>
      </w:r>
    </w:p>
    <w:p>
      <w:pPr>
        <w:pStyle w:val="ListBullet"/>
        <w:widowControl/>
      </w:pPr>
      <w:r>
        <w:t xml:space="preserve">Set 28 formation, passenger, companion-travel and assignment-travel proposals are consolidated with Set 30's formation and </w:t>
      </w:r>
      <w:r>
        <w:rPr>
          <w:rFonts w:ascii="Consolas" w:hAnsi="Consolas"/>
          <w:sz w:val="17"/>
        </w:rPr>
        <w:t>ExternalMovementIntent</w:t>
      </w:r>
      <w:r>
        <w:t xml:space="preserve"> contracts.</w:t>
      </w:r>
    </w:p>
    <w:p>
      <w:pPr>
        <w:pStyle w:val="ListBullet"/>
        <w:widowControl/>
      </w:pPr>
      <w:r>
        <w:t>Set 29 and Set 30 now have one canonical movement-exertion protocol and one canonical physical-impact/biological-consequence protocol.</w:t>
      </w:r>
    </w:p>
    <w:p>
      <w:pPr>
        <w:pStyle w:val="ListBullet"/>
        <w:widowControl/>
      </w:pPr>
      <w:r>
        <w:t xml:space="preserve">Route </w:t>
      </w:r>
      <w:r>
        <w:rPr>
          <w:b/>
        </w:rPr>
        <w:t>truth</w:t>
      </w:r>
      <w:r>
        <w:t xml:space="preserve"> remains Set 30-owned; actor route </w:t>
      </w:r>
      <w:r>
        <w:rPr>
          <w:b/>
        </w:rPr>
        <w:t>knowledge/belief</w:t>
      </w:r>
      <w:r>
        <w:t xml:space="preserve"> remains Set 28C-owned.</w:t>
      </w:r>
    </w:p>
    <w:p>
      <w:pPr>
        <w:pStyle w:val="ListBullet"/>
        <w:widowControl/>
      </w:pPr>
      <w:r>
        <w:t>Cross-set world time, evidence/idempotency and promotion/demotion are treated as shared technical envelopes without creating a fifth gameplay owner.</w:t>
      </w:r>
    </w:p>
    <w:p>
      <w:pPr>
        <w:pStyle w:val="ListBullet"/>
        <w:widowControl/>
      </w:pPr>
      <w:r>
        <w:t xml:space="preserve">No independent </w:t>
      </w:r>
      <w:r>
        <w:rPr>
          <w:rFonts w:ascii="Consolas" w:hAnsi="Consolas"/>
          <w:sz w:val="17"/>
        </w:rPr>
        <w:t>AssignmentCarryFeasibility()</w:t>
      </w:r>
      <w:r>
        <w:t xml:space="preserve"> gameplay formula is created; integration composes Set 29 and Set 30 outputs.</w:t>
      </w:r>
    </w:p>
    <w:p>
      <w:pPr>
        <w:pStyle w:val="Heading1"/>
        <w:keepNext/>
        <w:widowControl/>
      </w:pPr>
      <w:r>
        <w:t>2. What XSI-30-001 Was</w:t>
      </w:r>
    </w:p>
    <w:p>
      <w:pPr>
        <w:pStyle w:val="BodyText"/>
        <w:widowControl/>
      </w:pPr>
      <w:r>
        <w:t xml:space="preserve">XSI-30-001 existed because the original Sets 27-30 ownership register placed </w:t>
      </w:r>
      <w:r>
        <w:rPr>
          <w:b/>
        </w:rPr>
        <w:t>Swimming</w:t>
      </w:r>
      <w:r>
        <w:t xml:space="preserve"> under Set 30, while the already approved Maritime Set 26 had a full specialist document - </w:t>
      </w:r>
      <w:r>
        <w:rPr>
          <w:b/>
        </w:rPr>
        <w:t>26E</w:t>
      </w:r>
      <w:r>
        <w:t xml:space="preserve"> - defining water-contact states, wading, surface swimming, diving, underwater locomotion, current/wave response, aquatic NPC behaviour, vessel-side movement handoffs, networking and persistence.</w:t>
      </w:r>
    </w:p>
    <w:p>
      <w:pPr>
        <w:pStyle w:val="BodyText"/>
        <w:widowControl/>
      </w:pPr>
      <w:r>
        <w:t>Keeping both as owners would violate the project's one-owner-per-system rule.</w:t>
      </w:r>
    </w:p>
    <w:p>
      <w:pPr>
        <w:pStyle w:val="Heading1"/>
        <w:keepNext/>
        <w:widowControl/>
      </w:pPr>
      <w:r>
        <w:t>3. Final XSI-30-001 Decision</w:t>
      </w:r>
    </w:p>
    <w:p>
      <w:pPr>
        <w:pStyle w:val="BodyText"/>
        <w:widowControl/>
      </w:pPr>
      <w:r>
        <w:rPr>
          <w:b/>
        </w:rPr>
        <w:t>Adopted resolution: Option A.</w:t>
      </w:r>
    </w:p>
    <w:p>
      <w:pPr>
        <w:pStyle w:val="BodyText"/>
        <w:widowControl/>
      </w:pPr>
      <w:r>
        <w:t>26E remains the detailed aquatic-locomotion provider.</w:t>
      </w:r>
    </w:p>
    <w:p>
      <w:pPr>
        <w:pStyle w:val="BodyText"/>
        <w:widowControl/>
      </w:pPr>
      <w:r>
        <w:t>Set 30 owns:</w:t>
      </w:r>
    </w:p>
    <w:p>
      <w:pPr>
        <w:pStyle w:val="ListBullet"/>
        <w:widowControl/>
      </w:pPr>
      <w:r>
        <w:t xml:space="preserve">the universal </w:t>
      </w:r>
      <w:r>
        <w:rPr>
          <w:rFonts w:ascii="Consolas" w:hAnsi="Consolas"/>
          <w:sz w:val="17"/>
        </w:rPr>
        <w:t>Aquatic</w:t>
      </w:r>
      <w:r>
        <w:t xml:space="preserve"> top-level mode exposed through the Movement API;</w:t>
      </w:r>
    </w:p>
    <w:p>
      <w:pPr>
        <w:pStyle w:val="ListBullet"/>
        <w:widowControl/>
      </w:pPr>
      <w:r>
        <w:t>land/air/traversal to aquatic handoff coordination;</w:t>
      </w:r>
    </w:p>
    <w:p>
      <w:pPr>
        <w:pStyle w:val="ListBullet"/>
        <w:widowControl/>
      </w:pPr>
      <w:r>
        <w:t>aquatic back to land/traversal re-entry validation;</w:t>
      </w:r>
    </w:p>
    <w:p>
      <w:pPr>
        <w:pStyle w:val="ListBullet"/>
        <w:widowControl/>
      </w:pPr>
      <w:r>
        <w:t>route/navigation integration around aquatic-provider edges;</w:t>
      </w:r>
    </w:p>
    <w:p>
      <w:pPr>
        <w:pStyle w:val="ListBullet"/>
        <w:widowControl/>
      </w:pPr>
      <w:r>
        <w:t>common movement networking/persistence envelopes where the provider uses them.</w:t>
      </w:r>
    </w:p>
    <w:p>
      <w:pPr>
        <w:pStyle w:val="BodyText"/>
        <w:widowControl/>
      </w:pPr>
      <w:r>
        <w:t>This preserves the mature Set 26 design and prevents a duplicate swimming controller.</w:t>
      </w:r>
    </w:p>
    <w:p>
      <w:pPr>
        <w:pStyle w:val="Heading1"/>
        <w:keepNext/>
        <w:widowControl/>
      </w:pPr>
      <w:r>
        <w:t>4. Canonical Interface Families Created</w:t>
      </w:r>
    </w:p>
    <w:p>
      <w:pPr>
        <w:pStyle w:val="BodyText"/>
        <w:widowControl/>
      </w:pPr>
      <w:r>
        <w:t>The final register v1.1 consolidates parallel proposals into eleven interface families:</w:t>
      </w:r>
    </w:p>
    <w:p>
      <w:pPr>
        <w:pStyle w:val="BodyText"/>
        <w:widowControl/>
      </w:pPr>
      <w:r>
        <w:t>1. shared world time, presence and evidence;</w:t>
      </w:r>
    </w:p>
    <w:p>
      <w:pPr>
        <w:pStyle w:val="BodyText"/>
        <w:widowControl/>
      </w:pPr>
      <w:r>
        <w:t>2. economy/social commercial terms;</w:t>
      </w:r>
    </w:p>
    <w:p>
      <w:pPr>
        <w:pStyle w:val="BodyText"/>
        <w:widowControl/>
      </w:pPr>
      <w:r>
        <w:t>3. economy/biology demand and capacity;</w:t>
      </w:r>
    </w:p>
    <w:p>
      <w:pPr>
        <w:pStyle w:val="BodyText"/>
        <w:widowControl/>
      </w:pPr>
      <w:r>
        <w:t>4. economy/movement transport mission and execution;</w:t>
      </w:r>
    </w:p>
    <w:p>
      <w:pPr>
        <w:pStyle w:val="BodyText"/>
        <w:widowControl/>
      </w:pPr>
      <w:r>
        <w:t>5. social/biology care and availability;</w:t>
      </w:r>
    </w:p>
    <w:p>
      <w:pPr>
        <w:pStyle w:val="BodyText"/>
        <w:widowControl/>
      </w:pPr>
      <w:r>
        <w:t>6. social/movement permission, formation and travel intent;</w:t>
      </w:r>
    </w:p>
    <w:p>
      <w:pPr>
        <w:pStyle w:val="BodyText"/>
        <w:widowControl/>
      </w:pPr>
      <w:r>
        <w:t>7. route truth/knowledge/confidence;</w:t>
      </w:r>
    </w:p>
    <w:p>
      <w:pPr>
        <w:pStyle w:val="BodyText"/>
        <w:widowControl/>
      </w:pPr>
      <w:r>
        <w:t>8. biology/movement exertion and mobility;</w:t>
      </w:r>
    </w:p>
    <w:p>
      <w:pPr>
        <w:pStyle w:val="BodyText"/>
        <w:widowControl/>
      </w:pPr>
      <w:r>
        <w:t>9. physical impact/biological consequence;</w:t>
      </w:r>
    </w:p>
    <w:p>
      <w:pPr>
        <w:pStyle w:val="BodyText"/>
        <w:widowControl/>
      </w:pPr>
      <w:r>
        <w:t>10. cross-set simulation promotion/demotion;</w:t>
      </w:r>
    </w:p>
    <w:p>
      <w:pPr>
        <w:pStyle w:val="BodyText"/>
        <w:widowControl/>
      </w:pPr>
      <w:r>
        <w:t>11. aquatic locomotion provider boundary.</w:t>
      </w:r>
    </w:p>
    <w:p>
      <w:pPr>
        <w:pStyle w:val="Heading1"/>
        <w:keepNext/>
        <w:widowControl/>
      </w:pPr>
      <w:r>
        <w:t>5. Key Integration Decisions</w:t>
      </w:r>
    </w:p>
    <w:p>
      <w:pPr>
        <w:pStyle w:val="Heading2"/>
        <w:keepNext/>
        <w:widowControl/>
      </w:pPr>
      <w:r>
        <w:t>5.1 Caravan and Trade</w:t>
      </w:r>
    </w:p>
    <w:p>
      <w:pPr>
        <w:pStyle w:val="BodyText"/>
        <w:widowControl/>
      </w:pPr>
      <w:r>
        <w:t>Set 27 owns the reason, contract, value, cargo commitment and economic success/failure of a trip.</w:t>
      </w:r>
    </w:p>
    <w:p>
      <w:pPr>
        <w:pStyle w:val="BodyText"/>
        <w:widowControl/>
      </w:pPr>
      <w:r>
        <w:t>Set 30 owns the physical journey, capacity, route accessibility, ETA, vehicle/mount condition, delays and arrival evidence.</w:t>
      </w:r>
    </w:p>
    <w:p>
      <w:pPr>
        <w:pStyle w:val="BodyText"/>
        <w:widowControl/>
      </w:pPr>
      <w:r>
        <w:t>An expected arrival is never stock.</w:t>
      </w:r>
    </w:p>
    <w:p>
      <w:pPr>
        <w:pStyle w:val="Heading2"/>
        <w:keepNext/>
        <w:widowControl/>
      </w:pPr>
      <w:r>
        <w:t>5.2 Formations and Companions</w:t>
      </w:r>
    </w:p>
    <w:p>
      <w:pPr>
        <w:pStyle w:val="BodyText"/>
        <w:widowControl/>
      </w:pPr>
      <w:r>
        <w:t>Set 28 owns whether companions agree to travel, who is assigned as passenger, and the preferred formation/role ordering.</w:t>
      </w:r>
    </w:p>
    <w:p>
      <w:pPr>
        <w:pStyle w:val="BodyText"/>
        <w:widowControl/>
      </w:pPr>
      <w:r>
        <w:t>Set 30 owns seat feasibility, physical attachment, route movement, formation slot positions, compression through narrow spaces, separation and regroup movement.</w:t>
      </w:r>
    </w:p>
    <w:p>
      <w:pPr>
        <w:pStyle w:val="Heading2"/>
        <w:keepNext/>
        <w:widowControl/>
      </w:pPr>
      <w:r>
        <w:t>5.3 Stamina and Movement</w:t>
      </w:r>
    </w:p>
    <w:p>
      <w:pPr>
        <w:pStyle w:val="BodyText"/>
        <w:widowControl/>
      </w:pPr>
      <w:r>
        <w:t>Set 30 reports the physical activity context. Set 29 converts that context into actual Stamina/Fatigue/biological permission and returns a movement-facing decision.</w:t>
      </w:r>
    </w:p>
    <w:p>
      <w:pPr>
        <w:pStyle w:val="BodyText"/>
        <w:widowControl/>
      </w:pPr>
      <w:r>
        <w:t>Route estimation uses a side-effect-free estimate mode, so opening a map cannot spend Stamina.</w:t>
      </w:r>
    </w:p>
    <w:p>
      <w:pPr>
        <w:pStyle w:val="Heading2"/>
        <w:keepNext/>
        <w:widowControl/>
      </w:pPr>
      <w:r>
        <w:t>5.4 Falls</w:t>
      </w:r>
    </w:p>
    <w:p>
      <w:pPr>
        <w:pStyle w:val="BodyText"/>
        <w:widowControl/>
      </w:pPr>
      <w:r>
        <w:t>Set 30 reports physical impact evidence.</w:t>
      </w:r>
    </w:p>
    <w:p>
      <w:pPr>
        <w:pStyle w:val="BodyText"/>
        <w:widowControl/>
      </w:pPr>
      <w:r>
        <w:t>Set 29 decides injury/Health consequence and returns any resulting mobility restriction.</w:t>
      </w:r>
    </w:p>
    <w:p>
      <w:pPr>
        <w:pStyle w:val="Heading2"/>
        <w:keepNext/>
        <w:widowControl/>
      </w:pPr>
      <w:r>
        <w:t>5.5 Route Knowledge</w:t>
      </w:r>
    </w:p>
    <w:p>
      <w:pPr>
        <w:pStyle w:val="BodyText"/>
        <w:widowControl/>
      </w:pPr>
      <w:r>
        <w:t>Set 30 owns whether a route is physically open.</w:t>
      </w:r>
    </w:p>
    <w:p>
      <w:pPr>
        <w:pStyle w:val="BodyText"/>
        <w:widowControl/>
      </w:pPr>
      <w:r>
        <w:t>Set 28C owns what an actor believes/knows about that route, including rumours, confidence and provenance.</w:t>
      </w:r>
    </w:p>
    <w:p>
      <w:pPr>
        <w:pStyle w:val="BodyText"/>
        <w:widowControl/>
      </w:pPr>
      <w:r>
        <w:t>This prevents the map/path planner from becoming a hidden omniscience system.</w:t>
      </w:r>
    </w:p>
    <w:p>
      <w:pPr>
        <w:pStyle w:val="Heading1"/>
        <w:keepNext/>
        <w:widowControl/>
      </w:pPr>
      <w:r>
        <w:t>6. Updated Document Sets</w:t>
      </w:r>
    </w:p>
    <w:p>
      <w:pPr>
        <w:pStyle w:val="BodyText"/>
        <w:widowControl/>
      </w:pPr>
      <w:r>
        <w:t xml:space="preserve">All four packages are revised to a </w:t>
      </w:r>
      <w:r>
        <w:rPr>
          <w:b/>
        </w:rPr>
        <w:t>v0.2 Reconciled package level</w:t>
      </w:r>
      <w:r>
        <w:t>.</w:t>
      </w:r>
    </w:p>
    <w:p>
      <w:pPr>
        <w:pStyle w:val="BodyText"/>
        <w:widowControl/>
      </w:pPr>
      <w:r>
        <w:t>The specialist gameplay documents remain v0.1 where their gameplay rules did not change. The final integration document (</w:t>
      </w:r>
      <w:r>
        <w:rPr>
          <w:rFonts w:ascii="Consolas" w:hAnsi="Consolas"/>
          <w:sz w:val="17"/>
        </w:rPr>
        <w:t>J</w:t>
      </w:r>
      <w:r>
        <w:t>) in each set is replaced with a v0.2 version that adopts the new register and explicitly supersedes provisional interface-status wording in earlier documents.</w:t>
      </w:r>
    </w:p>
    <w:p>
      <w:pPr>
        <w:pStyle w:val="BodyText"/>
        <w:widowControl/>
      </w:pPr>
      <w:r>
        <w:t>Each package also contains:</w:t>
      </w:r>
    </w:p>
    <w:p>
      <w:pPr>
        <w:pStyle w:val="ListBullet"/>
        <w:widowControl/>
      </w:pPr>
      <w:r>
        <w:rPr>
          <w:rFonts w:ascii="Consolas" w:hAnsi="Consolas"/>
          <w:sz w:val="17"/>
        </w:rPr>
        <w:t>Leyforge_Document_Sets_27-30_Cross-Set_Interface_Register_v1_1_Final_Reconciled</w:t>
      </w:r>
      <w:r>
        <w:t>;</w:t>
      </w:r>
    </w:p>
    <w:p>
      <w:pPr>
        <w:pStyle w:val="ListBullet"/>
        <w:widowControl/>
      </w:pPr>
      <w:r>
        <w:t>a package reconciliation notice;</w:t>
      </w:r>
    </w:p>
    <w:p>
      <w:pPr>
        <w:pStyle w:val="ListBullet"/>
        <w:widowControl/>
      </w:pPr>
      <w:r>
        <w:t>the updated final integration document for that set.</w:t>
      </w:r>
    </w:p>
    <w:p>
      <w:pPr>
        <w:pStyle w:val="Heading1"/>
        <w:keepNext/>
        <w:widowControl/>
      </w:pPr>
      <w:r>
        <w:t>7. Files Functionally Amended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 w:val="true"/>
          <w:tblHeader w:val="true"/>
        </w:trPr>
        <w:tc>
          <w:tcPr>
            <w:tcW w:type="dxa" w:w="33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F4E78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Set</w:t>
            </w:r>
          </w:p>
        </w:tc>
        <w:tc>
          <w:tcPr>
            <w:tcW w:type="dxa" w:w="33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F4E78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Updated Final Integration Document</w:t>
            </w:r>
          </w:p>
        </w:tc>
        <w:tc>
          <w:tcPr>
            <w:tcW w:type="dxa" w:w="33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F4E78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Primary Changes</w:t>
            </w:r>
          </w:p>
        </w:tc>
      </w:tr>
      <w:tr>
        <w:trPr>
          <w:cantSplit w:val="true"/>
        </w:trPr>
        <w:tc>
          <w:tcPr>
            <w:tcW w:type="dxa" w:w="33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</w:r>
            <w:r>
              <w:rPr>
                <w:sz w:val="16"/>
              </w:rPr>
              <w:t>27</w:t>
            </w:r>
          </w:p>
        </w:tc>
        <w:tc>
          <w:tcPr>
            <w:tcW w:type="dxa" w:w="33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</w:r>
            <w:r>
              <w:rPr>
                <w:sz w:val="16"/>
              </w:rPr>
              <w:t>27J v0.2</w:t>
            </w:r>
          </w:p>
        </w:tc>
        <w:tc>
          <w:tcPr>
            <w:tcW w:type="dxa" w:w="33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</w:r>
            <w:r>
              <w:rPr>
                <w:sz w:val="16"/>
              </w:rPr>
              <w:t>Adopts canonical economy/social/biology/transport contracts; final reconciliation no longer pending.</w:t>
            </w:r>
          </w:p>
        </w:tc>
      </w:tr>
      <w:tr>
        <w:trPr>
          <w:cantSplit w:val="true"/>
        </w:trPr>
        <w:tc>
          <w:tcPr>
            <w:tcW w:type="dxa" w:w="33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5F8FB"/>
          </w:tcPr>
          <w:p>
            <w:r>
              <w:rPr>
                <w:sz w:val="16"/>
              </w:rPr>
            </w:r>
            <w:r>
              <w:rPr>
                <w:sz w:val="16"/>
              </w:rPr>
              <w:t>28</w:t>
            </w:r>
          </w:p>
        </w:tc>
        <w:tc>
          <w:tcPr>
            <w:tcW w:type="dxa" w:w="33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5F8FB"/>
          </w:tcPr>
          <w:p>
            <w:r>
              <w:rPr>
                <w:sz w:val="16"/>
              </w:rPr>
            </w:r>
            <w:r>
              <w:rPr>
                <w:sz w:val="16"/>
              </w:rPr>
              <w:t>28J v0.2</w:t>
            </w:r>
          </w:p>
        </w:tc>
        <w:tc>
          <w:tcPr>
            <w:tcW w:type="dxa" w:w="33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5F8FB"/>
          </w:tcPr>
          <w:p>
            <w:r>
              <w:rPr>
                <w:sz w:val="16"/>
              </w:rPr>
            </w:r>
            <w:r>
              <w:rPr>
                <w:sz w:val="16"/>
              </w:rPr>
              <w:t>Adopts canonical social/economy/biology/movement contracts; route knowledge and formation/travel intent frozen.</w:t>
            </w:r>
          </w:p>
        </w:tc>
      </w:tr>
      <w:tr>
        <w:trPr>
          <w:cantSplit w:val="true"/>
        </w:trPr>
        <w:tc>
          <w:tcPr>
            <w:tcW w:type="dxa" w:w="33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</w:r>
            <w:r>
              <w:rPr>
                <w:sz w:val="16"/>
              </w:rPr>
              <w:t>29</w:t>
            </w:r>
          </w:p>
        </w:tc>
        <w:tc>
          <w:tcPr>
            <w:tcW w:type="dxa" w:w="33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</w:r>
            <w:r>
              <w:rPr>
                <w:sz w:val="16"/>
              </w:rPr>
              <w:t>29J v0.2</w:t>
            </w:r>
          </w:p>
        </w:tc>
        <w:tc>
          <w:tcPr>
            <w:tcW w:type="dxa" w:w="33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</w:r>
            <w:r>
              <w:rPr>
                <w:sz w:val="16"/>
              </w:rPr>
              <w:t>Adopts canonical movement exertion, impact, world-time/LOD and population-health interfaces; swimming conflict marked resolved.</w:t>
            </w:r>
          </w:p>
        </w:tc>
      </w:tr>
      <w:tr>
        <w:trPr>
          <w:cantSplit w:val="true"/>
        </w:trPr>
        <w:tc>
          <w:tcPr>
            <w:tcW w:type="dxa" w:w="33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5F8FB"/>
          </w:tcPr>
          <w:p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33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5F8FB"/>
          </w:tcPr>
          <w:p>
            <w:r>
              <w:rPr>
                <w:sz w:val="16"/>
              </w:rPr>
            </w:r>
            <w:r>
              <w:rPr>
                <w:sz w:val="16"/>
              </w:rPr>
              <w:t>30J v0.2</w:t>
            </w:r>
          </w:p>
        </w:tc>
        <w:tc>
          <w:tcPr>
            <w:tcW w:type="dxa" w:w="338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5F8FB"/>
          </w:tcPr>
          <w:p>
            <w:r>
              <w:rPr>
                <w:sz w:val="16"/>
              </w:rPr>
            </w:r>
            <w:r>
              <w:rPr>
                <w:sz w:val="16"/>
              </w:rPr>
              <w:t>Resolves XSI-30-001 and XSI-30-002/003/005/006/007/008/010/011/012/013; marks external-only dependencies separately.</w:t>
            </w:r>
          </w:p>
        </w:tc>
      </w:tr>
    </w:tbl>
    <w:p>
      <w:pPr>
        <w:pStyle w:val="Heading1"/>
        <w:keepNext/>
        <w:widowControl/>
      </w:pPr>
      <w:r>
        <w:t>8. Historical Provisional Wording</w:t>
      </w:r>
    </w:p>
    <w:p>
      <w:pPr>
        <w:pStyle w:val="BodyText"/>
        <w:widowControl/>
      </w:pPr>
      <w:r>
        <w:t>Earlier specialist documents sometimes say an interface is "proposed", "pending final reconciliation" or "requires Set X review". Those statements are retained as the historical development record unless the gameplay rule itself required alteration.</w:t>
      </w:r>
    </w:p>
    <w:p>
      <w:pPr>
        <w:pStyle w:val="BodyText"/>
        <w:widowControl/>
      </w:pPr>
      <w:r>
        <w:t>For package v0.2, the following precedence applies:</w:t>
      </w:r>
    </w:p>
    <w:p>
      <w:pPr>
        <w:pStyle w:val="BodyText"/>
        <w:widowControl/>
      </w:pPr>
      <w:r>
        <w:t>1. Cross-Set Interface Register v1.1;</w:t>
      </w:r>
    </w:p>
    <w:p>
      <w:pPr>
        <w:pStyle w:val="BodyText"/>
        <w:widowControl/>
      </w:pPr>
      <w:r>
        <w:t xml:space="preserve">2. the set's updated </w:t>
      </w:r>
      <w:r>
        <w:rPr>
          <w:rFonts w:ascii="Consolas" w:hAnsi="Consolas"/>
          <w:sz w:val="17"/>
        </w:rPr>
        <w:t>J</w:t>
      </w:r>
      <w:r>
        <w:t xml:space="preserve"> v0.2 final-integration document;</w:t>
      </w:r>
    </w:p>
    <w:p>
      <w:pPr>
        <w:pStyle w:val="BodyText"/>
        <w:widowControl/>
      </w:pPr>
      <w:r>
        <w:t>3. specialist document gameplay rules;</w:t>
      </w:r>
    </w:p>
    <w:p>
      <w:pPr>
        <w:pStyle w:val="BodyText"/>
        <w:widowControl/>
      </w:pPr>
      <w:r>
        <w:t>4. earlier provisional interface-status text.</w:t>
      </w:r>
    </w:p>
    <w:p>
      <w:pPr>
        <w:pStyle w:val="BodyText"/>
        <w:widowControl/>
      </w:pPr>
      <w:r>
        <w:t>This avoids rewriting dozens of otherwise-correct specialist documents simply to change status wording.</w:t>
      </w:r>
    </w:p>
    <w:p>
      <w:pPr>
        <w:pStyle w:val="Heading1"/>
        <w:keepNext/>
        <w:widowControl/>
      </w:pPr>
      <w:r>
        <w:t>9. Remaining Work Outside This Pass</w:t>
      </w:r>
    </w:p>
    <w:p>
      <w:pPr>
        <w:pStyle w:val="BodyText"/>
        <w:widowControl/>
      </w:pPr>
      <w:r>
        <w:t>The following are implementation/integration tasks, not unresolved 27-30 design conflicts:</w:t>
      </w:r>
    </w:p>
    <w:p>
      <w:pPr>
        <w:pStyle w:val="ListBullet"/>
        <w:widowControl/>
      </w:pPr>
      <w:r>
        <w:t>register the final interface schemas through Set 25;</w:t>
      </w:r>
    </w:p>
    <w:p>
      <w:pPr>
        <w:pStyle w:val="ListBullet"/>
        <w:widowControl/>
      </w:pPr>
      <w:r>
        <w:t>amend older pre-27 documents to consume these interfaces during the main integration pass;</w:t>
      </w:r>
    </w:p>
    <w:p>
      <w:pPr>
        <w:pStyle w:val="ListBullet"/>
        <w:widowControl/>
      </w:pPr>
      <w:r>
        <w:t>finalise the external Environment Movement Field owner mapping;</w:t>
      </w:r>
    </w:p>
    <w:p>
      <w:pPr>
        <w:pStyle w:val="ListBullet"/>
        <w:widowControl/>
      </w:pPr>
      <w:r>
        <w:t>finalise Automation/Magic readiness adapters for powered/guided transport;</w:t>
      </w:r>
    </w:p>
    <w:p>
      <w:pPr>
        <w:pStyle w:val="ListBullet"/>
        <w:widowControl/>
      </w:pPr>
      <w:r>
        <w:t>implement and profile the contracts in Godot/Summer Engine.</w:t>
      </w:r>
    </w:p>
    <w:p>
      <w:pPr>
        <w:pStyle w:val="Heading1"/>
        <w:keepNext/>
        <w:widowControl/>
      </w:pPr>
      <w:r>
        <w:t>10. Final Assessment</w:t>
      </w:r>
    </w:p>
    <w:p>
      <w:pPr>
        <w:pStyle w:val="BodyText"/>
        <w:widowControl/>
      </w:pPr>
      <w:r>
        <w:t>Sets 27-30 now form a coherent four-layer architecture:</w:t>
      </w:r>
    </w:p>
    <w:p>
      <w:pPr>
        <w:spacing w:before="60" w:after="80" w:line="252" w:lineRule="auto"/>
        <w:ind w:left="259" w:right="115"/>
        <w:widowControl/>
        <w:shd w:fill="F2F2F2"/>
      </w:pPr>
      <w:r>
        <w:rPr>
          <w:rFonts w:ascii="Consolas" w:hAnsi="Consolas"/>
          <w:sz w:val="16"/>
        </w:rPr>
        <w:t>Set 27: Why value moves / what it is worth / what is owed</w:t>
        <w:br/>
        <w:t>Set 28: Who agrees / believes / trusts / is assigned</w:t>
        <w:br/>
        <w:t>Set 29: What the body can biologically sustain</w:t>
        <w:br/>
        <w:t>Set 30: What can physically move / where / how long it takes</w:t>
      </w:r>
    </w:p>
    <w:p>
      <w:pPr>
        <w:pStyle w:val="BodyText"/>
        <w:widowControl/>
      </w:pPr>
      <w:r>
        <w:t>That separation is strong enough to support the game's later AI, settlement, automation and living-world systems without creating four competing versions of the same truth.</w:t>
      </w:r>
    </w:p>
    <w:p>
      <w:pPr>
        <w:pStyle w:val="BodyText"/>
        <w:widowControl/>
      </w:pPr>
      <w:r>
        <w:rPr>
          <w:b/>
        </w:rPr>
        <w:t>End of Final Cross-Set Reconciliation and Integration Report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331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Leyforge | Sets 27-30 Final Reconciliation v1.1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color w:val="505050"/>
        <w:sz w:val="14"/>
      </w:rPr>
      <w:t>LEYFORGE | DOCUMENT SETS 27-30 | FINAL RECONCILIATION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D6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D6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83D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183D6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3D6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  <w:ind w:left="173" w:right="173"/>
    </w:pPr>
    <w:rPr>
      <w:rFonts w:ascii="Consolas" w:hAnsi="Consolas"/>
      <w:sz w:val="16"/>
    </w:rPr>
  </w:style>
  <w:style w:type="paragraph" w:customStyle="1" w:styleId="LeyforgeQuote">
    <w:name w:val="Leyforge Quote"/>
    <w:pPr>
      <w:spacing w:before="80" w:after="100"/>
      <w:ind w:left="216" w:right="144"/>
    </w:pPr>
    <w:rPr>
      <w:rFonts w:ascii="Aptos" w:hAnsi="Aptos"/>
      <w:i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30A - Movement, Traversal and Transportation System Architecture</dc:title>
  <dc:subject>Leyforge Document Set 30</dc:subject>
  <dc:creator>Ash / Leyforge Project</dc:creator>
  <cp:keywords>Leyforge, movement, traversal, transportation, mounts, vehicles, pathfinding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