
<file path=[Content_Types].xml><?xml version="1.0" encoding="utf-8"?>
<Types xmlns="http://schemas.openxmlformats.org/package/2006/content-types">
  <Override PartName="/word/diagrams/quickStyle1.xml" ContentType="application/vnd.openxmlformats-officedocument.drawingml.diagramStyle+xml"/>
  <Override PartName="/word/diagrams/data1.xml" ContentType="application/vnd.openxmlformats-officedocument.drawingml.diagramData+xml"/>
  <Override PartName="/word/diagrams/colors1.xml" ContentType="application/vnd.openxmlformats-officedocument.drawingml.diagramColor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6C1B" w:rsidRDefault="00E14BB2">
      <w:pPr>
        <w:rPr>
          <w:sz w:val="28"/>
          <w:szCs w:val="28"/>
        </w:rPr>
      </w:pPr>
      <w:r>
        <w:rPr>
          <w:sz w:val="28"/>
          <w:szCs w:val="28"/>
        </w:rPr>
        <w:t xml:space="preserve">According to the Rajasthan HRD report  2008,Rajasthan has been classified as a state ranking low on human development .The educational sector in Rajasthan has improved satisfactorily if not significantly in terms of literacy rate and gender difference the spread of </w:t>
      </w:r>
      <w:proofErr w:type="spellStart"/>
      <w:r>
        <w:rPr>
          <w:sz w:val="28"/>
          <w:szCs w:val="28"/>
        </w:rPr>
        <w:t>education.</w:t>
      </w:r>
      <w:r w:rsidR="003E7DF9">
        <w:rPr>
          <w:sz w:val="28"/>
          <w:szCs w:val="28"/>
        </w:rPr>
        <w:t>However</w:t>
      </w:r>
      <w:proofErr w:type="spellEnd"/>
      <w:r w:rsidR="003E7DF9">
        <w:rPr>
          <w:sz w:val="28"/>
          <w:szCs w:val="28"/>
        </w:rPr>
        <w:t xml:space="preserve"> ,a</w:t>
      </w:r>
      <w:r>
        <w:rPr>
          <w:sz w:val="28"/>
          <w:szCs w:val="28"/>
        </w:rPr>
        <w:t xml:space="preserve"> serious problem which the report revealed was the high dropout rate </w:t>
      </w:r>
      <w:r w:rsidR="00B37FB0">
        <w:rPr>
          <w:sz w:val="28"/>
          <w:szCs w:val="28"/>
        </w:rPr>
        <w:t>–only 60% children who enrol in class 1 reach class 8.In none of the districts of Rajasthan do all who enrol in class 1 reach class 8.The problem of school dropout rates is worst in the districts of</w:t>
      </w:r>
      <w:r w:rsidR="00086C1B">
        <w:rPr>
          <w:sz w:val="28"/>
          <w:szCs w:val="28"/>
        </w:rPr>
        <w:t xml:space="preserve"> </w:t>
      </w:r>
      <w:r w:rsidR="00B37FB0">
        <w:rPr>
          <w:sz w:val="28"/>
          <w:szCs w:val="28"/>
        </w:rPr>
        <w:t xml:space="preserve"> </w:t>
      </w:r>
      <w:proofErr w:type="spellStart"/>
      <w:r w:rsidR="00B37FB0">
        <w:rPr>
          <w:sz w:val="28"/>
          <w:szCs w:val="28"/>
        </w:rPr>
        <w:t>Baran</w:t>
      </w:r>
      <w:proofErr w:type="spellEnd"/>
      <w:r w:rsidR="00B37FB0">
        <w:rPr>
          <w:sz w:val="28"/>
          <w:szCs w:val="28"/>
        </w:rPr>
        <w:t xml:space="preserve"> , </w:t>
      </w:r>
      <w:proofErr w:type="spellStart"/>
      <w:r w:rsidR="00B37FB0">
        <w:rPr>
          <w:sz w:val="28"/>
          <w:szCs w:val="28"/>
        </w:rPr>
        <w:t>Jaisalmer</w:t>
      </w:r>
      <w:proofErr w:type="spellEnd"/>
      <w:r w:rsidR="00086C1B">
        <w:rPr>
          <w:sz w:val="28"/>
          <w:szCs w:val="28"/>
        </w:rPr>
        <w:t xml:space="preserve"> </w:t>
      </w:r>
      <w:r w:rsidR="00B37FB0">
        <w:rPr>
          <w:sz w:val="28"/>
          <w:szCs w:val="28"/>
        </w:rPr>
        <w:t>,</w:t>
      </w:r>
      <w:proofErr w:type="spellStart"/>
      <w:r w:rsidR="00B37FB0">
        <w:rPr>
          <w:sz w:val="28"/>
          <w:szCs w:val="28"/>
        </w:rPr>
        <w:t>Nagaur</w:t>
      </w:r>
      <w:proofErr w:type="spellEnd"/>
      <w:r w:rsidR="00086C1B">
        <w:rPr>
          <w:sz w:val="28"/>
          <w:szCs w:val="28"/>
        </w:rPr>
        <w:t xml:space="preserve"> </w:t>
      </w:r>
      <w:r w:rsidR="00B37FB0">
        <w:rPr>
          <w:sz w:val="28"/>
          <w:szCs w:val="28"/>
        </w:rPr>
        <w:t>,</w:t>
      </w:r>
      <w:proofErr w:type="spellStart"/>
      <w:r w:rsidR="00B37FB0">
        <w:rPr>
          <w:sz w:val="28"/>
          <w:szCs w:val="28"/>
        </w:rPr>
        <w:t>Churu</w:t>
      </w:r>
      <w:proofErr w:type="spellEnd"/>
      <w:r w:rsidR="00B37FB0">
        <w:rPr>
          <w:sz w:val="28"/>
          <w:szCs w:val="28"/>
        </w:rPr>
        <w:t xml:space="preserve"> and </w:t>
      </w:r>
      <w:proofErr w:type="spellStart"/>
      <w:r w:rsidR="00B37FB0">
        <w:rPr>
          <w:sz w:val="28"/>
          <w:szCs w:val="28"/>
        </w:rPr>
        <w:t>Jhunjhunu</w:t>
      </w:r>
      <w:proofErr w:type="spellEnd"/>
      <w:r w:rsidR="00B37FB0">
        <w:rPr>
          <w:sz w:val="28"/>
          <w:szCs w:val="28"/>
        </w:rPr>
        <w:t>.</w:t>
      </w:r>
    </w:p>
    <w:p w:rsidR="00B37FB0" w:rsidRDefault="00B37FB0">
      <w:pPr>
        <w:rPr>
          <w:sz w:val="28"/>
          <w:szCs w:val="28"/>
        </w:rPr>
      </w:pPr>
      <w:proofErr w:type="spellStart"/>
      <w:r>
        <w:rPr>
          <w:sz w:val="28"/>
          <w:szCs w:val="28"/>
        </w:rPr>
        <w:t>Pilani</w:t>
      </w:r>
      <w:proofErr w:type="spellEnd"/>
      <w:r>
        <w:rPr>
          <w:sz w:val="28"/>
          <w:szCs w:val="28"/>
        </w:rPr>
        <w:t xml:space="preserve">-located </w:t>
      </w:r>
      <w:proofErr w:type="gramStart"/>
      <w:r>
        <w:rPr>
          <w:sz w:val="28"/>
          <w:szCs w:val="28"/>
        </w:rPr>
        <w:t xml:space="preserve">in  </w:t>
      </w:r>
      <w:proofErr w:type="spellStart"/>
      <w:r>
        <w:rPr>
          <w:sz w:val="28"/>
          <w:szCs w:val="28"/>
        </w:rPr>
        <w:t>Jhunjhunu</w:t>
      </w:r>
      <w:proofErr w:type="spellEnd"/>
      <w:proofErr w:type="gramEnd"/>
      <w:r>
        <w:rPr>
          <w:sz w:val="28"/>
          <w:szCs w:val="28"/>
        </w:rPr>
        <w:t xml:space="preserve"> district –</w:t>
      </w:r>
      <w:r w:rsidR="003E7DF9">
        <w:rPr>
          <w:sz w:val="28"/>
          <w:szCs w:val="28"/>
        </w:rPr>
        <w:t xml:space="preserve">which </w:t>
      </w:r>
      <w:r>
        <w:rPr>
          <w:sz w:val="28"/>
          <w:szCs w:val="28"/>
        </w:rPr>
        <w:t xml:space="preserve">is the home to the nationally recognised premier educational institute </w:t>
      </w:r>
      <w:r w:rsidR="00086C1B">
        <w:rPr>
          <w:sz w:val="28"/>
          <w:szCs w:val="28"/>
        </w:rPr>
        <w:t>,</w:t>
      </w:r>
      <w:r>
        <w:rPr>
          <w:sz w:val="28"/>
          <w:szCs w:val="28"/>
        </w:rPr>
        <w:t xml:space="preserve"> Birla Institute of Technology and Science,</w:t>
      </w:r>
      <w:r w:rsidR="002A3692">
        <w:rPr>
          <w:sz w:val="28"/>
          <w:szCs w:val="28"/>
        </w:rPr>
        <w:t xml:space="preserve"> </w:t>
      </w:r>
      <w:proofErr w:type="spellStart"/>
      <w:r>
        <w:rPr>
          <w:sz w:val="28"/>
          <w:szCs w:val="28"/>
        </w:rPr>
        <w:t>Pilani</w:t>
      </w:r>
      <w:proofErr w:type="spellEnd"/>
      <w:r>
        <w:rPr>
          <w:sz w:val="28"/>
          <w:szCs w:val="28"/>
        </w:rPr>
        <w:t xml:space="preserve"> and  almost 120</w:t>
      </w:r>
      <w:r w:rsidR="003E7DF9">
        <w:rPr>
          <w:sz w:val="28"/>
          <w:szCs w:val="28"/>
        </w:rPr>
        <w:t xml:space="preserve"> private and government</w:t>
      </w:r>
      <w:r>
        <w:rPr>
          <w:sz w:val="28"/>
          <w:szCs w:val="28"/>
        </w:rPr>
        <w:t xml:space="preserve"> schools is no stranger to this grim statistics of high dropout rates.</w:t>
      </w:r>
      <w:r w:rsidR="002A3692">
        <w:rPr>
          <w:sz w:val="28"/>
          <w:szCs w:val="28"/>
        </w:rPr>
        <w:t xml:space="preserve"> </w:t>
      </w:r>
      <w:r>
        <w:rPr>
          <w:sz w:val="28"/>
          <w:szCs w:val="28"/>
        </w:rPr>
        <w:t xml:space="preserve">Coming second behind social reasons is the economic backwardness of a significant chunk of the </w:t>
      </w:r>
      <w:proofErr w:type="spellStart"/>
      <w:r>
        <w:rPr>
          <w:sz w:val="28"/>
          <w:szCs w:val="28"/>
        </w:rPr>
        <w:t>Pilani</w:t>
      </w:r>
      <w:proofErr w:type="spellEnd"/>
      <w:r>
        <w:rPr>
          <w:sz w:val="28"/>
          <w:szCs w:val="28"/>
        </w:rPr>
        <w:t xml:space="preserve"> population</w:t>
      </w:r>
      <w:r w:rsidR="00086C1B">
        <w:rPr>
          <w:sz w:val="28"/>
          <w:szCs w:val="28"/>
        </w:rPr>
        <w:t xml:space="preserve"> leading to such huge chunk of children being deprived from basic </w:t>
      </w:r>
      <w:proofErr w:type="spellStart"/>
      <w:r w:rsidR="00086C1B">
        <w:rPr>
          <w:sz w:val="28"/>
          <w:szCs w:val="28"/>
        </w:rPr>
        <w:t>schooling</w:t>
      </w:r>
      <w:r>
        <w:rPr>
          <w:sz w:val="28"/>
          <w:szCs w:val="28"/>
        </w:rPr>
        <w:t>.Due</w:t>
      </w:r>
      <w:proofErr w:type="spellEnd"/>
      <w:r>
        <w:rPr>
          <w:sz w:val="28"/>
          <w:szCs w:val="28"/>
        </w:rPr>
        <w:t xml:space="preserve"> to poor financial conditions a considerable percentage of school goers including</w:t>
      </w:r>
      <w:r w:rsidR="00086C1B">
        <w:rPr>
          <w:sz w:val="28"/>
          <w:szCs w:val="28"/>
        </w:rPr>
        <w:t xml:space="preserve"> some</w:t>
      </w:r>
      <w:r>
        <w:rPr>
          <w:sz w:val="28"/>
          <w:szCs w:val="28"/>
        </w:rPr>
        <w:t xml:space="preserve"> meritorious students sometimes even the top rankers in their respective schools are forced to give up their education.</w:t>
      </w:r>
      <w:r w:rsidR="002A3692">
        <w:rPr>
          <w:sz w:val="28"/>
          <w:szCs w:val="28"/>
        </w:rPr>
        <w:t xml:space="preserve"> </w:t>
      </w:r>
      <w:r w:rsidR="003E7DF9">
        <w:rPr>
          <w:sz w:val="28"/>
          <w:szCs w:val="28"/>
        </w:rPr>
        <w:t xml:space="preserve">Due to the poor state of government </w:t>
      </w:r>
      <w:proofErr w:type="gramStart"/>
      <w:r w:rsidR="003E7DF9">
        <w:rPr>
          <w:sz w:val="28"/>
          <w:szCs w:val="28"/>
        </w:rPr>
        <w:t>schools</w:t>
      </w:r>
      <w:r w:rsidR="0012231E">
        <w:rPr>
          <w:sz w:val="28"/>
          <w:szCs w:val="28"/>
        </w:rPr>
        <w:t xml:space="preserve"> </w:t>
      </w:r>
      <w:r w:rsidR="003E7DF9">
        <w:rPr>
          <w:sz w:val="28"/>
          <w:szCs w:val="28"/>
        </w:rPr>
        <w:t xml:space="preserve"> majority</w:t>
      </w:r>
      <w:proofErr w:type="gramEnd"/>
      <w:r w:rsidR="003E7DF9">
        <w:rPr>
          <w:sz w:val="28"/>
          <w:szCs w:val="28"/>
        </w:rPr>
        <w:t xml:space="preserve"> of students prefer to go to private or public schools.</w:t>
      </w:r>
      <w:r w:rsidR="000C1475">
        <w:rPr>
          <w:sz w:val="28"/>
          <w:szCs w:val="28"/>
        </w:rPr>
        <w:t xml:space="preserve">The average annual fees for most of the private schools in </w:t>
      </w:r>
      <w:proofErr w:type="spellStart"/>
      <w:r w:rsidR="000C1475">
        <w:rPr>
          <w:sz w:val="28"/>
          <w:szCs w:val="28"/>
        </w:rPr>
        <w:t>Pilani</w:t>
      </w:r>
      <w:proofErr w:type="spellEnd"/>
      <w:r w:rsidR="000C1475">
        <w:rPr>
          <w:sz w:val="28"/>
          <w:szCs w:val="28"/>
        </w:rPr>
        <w:t xml:space="preserve">  range from Rs 10,000 to Rs. 15,000 while a major chunk of economically backward population of </w:t>
      </w:r>
      <w:proofErr w:type="spellStart"/>
      <w:r w:rsidR="000C1475">
        <w:rPr>
          <w:sz w:val="28"/>
          <w:szCs w:val="28"/>
        </w:rPr>
        <w:t>Pilani</w:t>
      </w:r>
      <w:proofErr w:type="spellEnd"/>
      <w:r w:rsidR="000C1475">
        <w:rPr>
          <w:sz w:val="28"/>
          <w:szCs w:val="28"/>
        </w:rPr>
        <w:t xml:space="preserve"> relies on daily wage labour as  a source of income. The irregularity of employment associated with this kind of job and the low </w:t>
      </w:r>
      <w:proofErr w:type="gramStart"/>
      <w:r w:rsidR="000C1475">
        <w:rPr>
          <w:sz w:val="28"/>
          <w:szCs w:val="28"/>
        </w:rPr>
        <w:t>pay  makes</w:t>
      </w:r>
      <w:proofErr w:type="gramEnd"/>
      <w:r w:rsidR="000C1475">
        <w:rPr>
          <w:sz w:val="28"/>
          <w:szCs w:val="28"/>
        </w:rPr>
        <w:t xml:space="preserve"> it difficult for the family to bear the expenses of educating the </w:t>
      </w:r>
      <w:proofErr w:type="spellStart"/>
      <w:r w:rsidR="000C1475">
        <w:rPr>
          <w:sz w:val="28"/>
          <w:szCs w:val="28"/>
        </w:rPr>
        <w:t>children.This</w:t>
      </w:r>
      <w:proofErr w:type="spellEnd"/>
      <w:r w:rsidR="000C1475">
        <w:rPr>
          <w:sz w:val="28"/>
          <w:szCs w:val="28"/>
        </w:rPr>
        <w:t xml:space="preserve"> forces many children to leave their education in the middle and this</w:t>
      </w:r>
      <w:r w:rsidR="0012231E">
        <w:rPr>
          <w:sz w:val="28"/>
          <w:szCs w:val="28"/>
        </w:rPr>
        <w:t xml:space="preserve"> is</w:t>
      </w:r>
      <w:r w:rsidR="000C1475">
        <w:rPr>
          <w:sz w:val="28"/>
          <w:szCs w:val="28"/>
        </w:rPr>
        <w:t xml:space="preserve"> even more common in case of girls who in many cases are also wedded </w:t>
      </w:r>
      <w:r w:rsidR="002503F1">
        <w:rPr>
          <w:sz w:val="28"/>
          <w:szCs w:val="28"/>
        </w:rPr>
        <w:t xml:space="preserve"> before they reach</w:t>
      </w:r>
      <w:r w:rsidR="0012231E">
        <w:rPr>
          <w:sz w:val="28"/>
          <w:szCs w:val="28"/>
        </w:rPr>
        <w:t xml:space="preserve"> an age of</w:t>
      </w:r>
      <w:r w:rsidR="002503F1">
        <w:rPr>
          <w:sz w:val="28"/>
          <w:szCs w:val="28"/>
        </w:rPr>
        <w:t xml:space="preserve"> 18.</w:t>
      </w:r>
    </w:p>
    <w:p w:rsidR="00086C1B" w:rsidRDefault="00086C1B">
      <w:pPr>
        <w:rPr>
          <w:sz w:val="28"/>
          <w:szCs w:val="28"/>
        </w:rPr>
      </w:pPr>
      <w:r>
        <w:rPr>
          <w:sz w:val="28"/>
          <w:szCs w:val="28"/>
        </w:rPr>
        <w:t xml:space="preserve">These circumstances prevailing in and around  </w:t>
      </w:r>
      <w:proofErr w:type="spellStart"/>
      <w:r>
        <w:rPr>
          <w:sz w:val="28"/>
          <w:szCs w:val="28"/>
        </w:rPr>
        <w:t>Pilani</w:t>
      </w:r>
      <w:proofErr w:type="spellEnd"/>
      <w:r>
        <w:rPr>
          <w:sz w:val="28"/>
          <w:szCs w:val="28"/>
        </w:rPr>
        <w:t xml:space="preserve"> led to the inception of </w:t>
      </w:r>
      <w:proofErr w:type="spellStart"/>
      <w:r>
        <w:rPr>
          <w:sz w:val="28"/>
          <w:szCs w:val="28"/>
        </w:rPr>
        <w:t>Umang</w:t>
      </w:r>
      <w:proofErr w:type="spellEnd"/>
      <w:r>
        <w:rPr>
          <w:sz w:val="28"/>
          <w:szCs w:val="28"/>
        </w:rPr>
        <w:t xml:space="preserve">  in the year 2008 as a branch of NSS –BITS </w:t>
      </w:r>
      <w:proofErr w:type="spellStart"/>
      <w:r>
        <w:rPr>
          <w:sz w:val="28"/>
          <w:szCs w:val="28"/>
        </w:rPr>
        <w:t>Pilani.Umang</w:t>
      </w:r>
      <w:proofErr w:type="spellEnd"/>
      <w:r>
        <w:rPr>
          <w:sz w:val="28"/>
          <w:szCs w:val="28"/>
        </w:rPr>
        <w:t xml:space="preserve"> started out as a financial support programme for the economically needy as well as meritorious  students .From 2008  till today </w:t>
      </w:r>
      <w:proofErr w:type="spellStart"/>
      <w:r>
        <w:rPr>
          <w:sz w:val="28"/>
          <w:szCs w:val="28"/>
        </w:rPr>
        <w:t>Umang</w:t>
      </w:r>
      <w:proofErr w:type="spellEnd"/>
      <w:r>
        <w:rPr>
          <w:sz w:val="28"/>
          <w:szCs w:val="28"/>
        </w:rPr>
        <w:t xml:space="preserve"> has come a long way from supporting just a handful  of students to a whopping 50 students from  different schools in </w:t>
      </w:r>
      <w:proofErr w:type="spellStart"/>
      <w:r>
        <w:rPr>
          <w:sz w:val="28"/>
          <w:szCs w:val="28"/>
        </w:rPr>
        <w:t>Pilani</w:t>
      </w:r>
      <w:proofErr w:type="spellEnd"/>
      <w:r>
        <w:rPr>
          <w:sz w:val="28"/>
          <w:szCs w:val="28"/>
        </w:rPr>
        <w:t xml:space="preserve"> .However ,  even after so many years the basic aim of </w:t>
      </w:r>
      <w:proofErr w:type="spellStart"/>
      <w:r>
        <w:rPr>
          <w:sz w:val="28"/>
          <w:szCs w:val="28"/>
        </w:rPr>
        <w:t>Umang</w:t>
      </w:r>
      <w:proofErr w:type="spellEnd"/>
      <w:r>
        <w:rPr>
          <w:sz w:val="28"/>
          <w:szCs w:val="28"/>
        </w:rPr>
        <w:t xml:space="preserve"> still remains</w:t>
      </w:r>
      <w:r w:rsidR="00886F25">
        <w:rPr>
          <w:sz w:val="28"/>
          <w:szCs w:val="28"/>
        </w:rPr>
        <w:t xml:space="preserve"> that is</w:t>
      </w:r>
      <w:r>
        <w:rPr>
          <w:sz w:val="28"/>
          <w:szCs w:val="28"/>
        </w:rPr>
        <w:t xml:space="preserve"> supporting financially backward</w:t>
      </w:r>
      <w:r w:rsidR="00886F25">
        <w:rPr>
          <w:sz w:val="28"/>
          <w:szCs w:val="28"/>
        </w:rPr>
        <w:t xml:space="preserve"> </w:t>
      </w:r>
      <w:r>
        <w:rPr>
          <w:sz w:val="28"/>
          <w:szCs w:val="28"/>
        </w:rPr>
        <w:t xml:space="preserve"> meritorious students </w:t>
      </w:r>
      <w:r w:rsidR="00886F25">
        <w:rPr>
          <w:sz w:val="28"/>
          <w:szCs w:val="28"/>
        </w:rPr>
        <w:t xml:space="preserve">.The basic difference between </w:t>
      </w:r>
      <w:proofErr w:type="spellStart"/>
      <w:r w:rsidR="00886F25">
        <w:rPr>
          <w:sz w:val="28"/>
          <w:szCs w:val="28"/>
        </w:rPr>
        <w:t>Umang</w:t>
      </w:r>
      <w:proofErr w:type="spellEnd"/>
      <w:r w:rsidR="00886F25">
        <w:rPr>
          <w:sz w:val="28"/>
          <w:szCs w:val="28"/>
        </w:rPr>
        <w:t xml:space="preserve"> and other similar scholarship </w:t>
      </w:r>
      <w:r w:rsidR="00886F25">
        <w:rPr>
          <w:sz w:val="28"/>
          <w:szCs w:val="28"/>
        </w:rPr>
        <w:lastRenderedPageBreak/>
        <w:t>programmes initiated by other non profit organisations is the particular and exclusive attention given to  merit and passion to study  .</w:t>
      </w:r>
    </w:p>
    <w:p w:rsidR="00886F25" w:rsidRDefault="00886F25">
      <w:pPr>
        <w:rPr>
          <w:sz w:val="28"/>
          <w:szCs w:val="28"/>
        </w:rPr>
      </w:pPr>
    </w:p>
    <w:p w:rsidR="00886F25" w:rsidRDefault="00886F25">
      <w:pPr>
        <w:rPr>
          <w:sz w:val="28"/>
          <w:szCs w:val="28"/>
        </w:rPr>
      </w:pPr>
      <w:r>
        <w:rPr>
          <w:sz w:val="28"/>
          <w:szCs w:val="28"/>
        </w:rPr>
        <w:t>FUNCTIONING OF UMANG</w:t>
      </w:r>
      <w:r w:rsidR="00342B7A">
        <w:rPr>
          <w:sz w:val="28"/>
          <w:szCs w:val="28"/>
        </w:rPr>
        <w:t>:</w:t>
      </w:r>
    </w:p>
    <w:p w:rsidR="00342B7A" w:rsidRDefault="00342B7A">
      <w:pPr>
        <w:rPr>
          <w:sz w:val="28"/>
          <w:szCs w:val="28"/>
        </w:rPr>
      </w:pPr>
      <w:r>
        <w:rPr>
          <w:sz w:val="28"/>
          <w:szCs w:val="28"/>
        </w:rPr>
        <w:t xml:space="preserve">The functioning of </w:t>
      </w:r>
      <w:proofErr w:type="spellStart"/>
      <w:r>
        <w:rPr>
          <w:sz w:val="28"/>
          <w:szCs w:val="28"/>
        </w:rPr>
        <w:t>Umang</w:t>
      </w:r>
      <w:proofErr w:type="spellEnd"/>
      <w:r>
        <w:rPr>
          <w:sz w:val="28"/>
          <w:szCs w:val="28"/>
        </w:rPr>
        <w:t xml:space="preserve"> revolves around 3 tasks which are spread across the semester.</w:t>
      </w:r>
    </w:p>
    <w:p w:rsidR="00342B7A" w:rsidRDefault="00342B7A">
      <w:pPr>
        <w:rPr>
          <w:sz w:val="28"/>
          <w:szCs w:val="28"/>
        </w:rPr>
      </w:pPr>
      <w:proofErr w:type="gramStart"/>
      <w:r>
        <w:rPr>
          <w:sz w:val="28"/>
          <w:szCs w:val="28"/>
        </w:rPr>
        <w:t>1.Screening</w:t>
      </w:r>
      <w:proofErr w:type="gramEnd"/>
      <w:r>
        <w:rPr>
          <w:sz w:val="28"/>
          <w:szCs w:val="28"/>
        </w:rPr>
        <w:t>:</w:t>
      </w:r>
    </w:p>
    <w:p w:rsidR="00342B7A" w:rsidRDefault="00342B7A">
      <w:pPr>
        <w:rPr>
          <w:sz w:val="28"/>
          <w:szCs w:val="28"/>
        </w:rPr>
      </w:pPr>
      <w:r>
        <w:rPr>
          <w:sz w:val="28"/>
          <w:szCs w:val="28"/>
        </w:rPr>
        <w:t xml:space="preserve">The special focus of </w:t>
      </w:r>
      <w:proofErr w:type="spellStart"/>
      <w:r>
        <w:rPr>
          <w:sz w:val="28"/>
          <w:szCs w:val="28"/>
        </w:rPr>
        <w:t>Um</w:t>
      </w:r>
      <w:r w:rsidR="0012231E">
        <w:rPr>
          <w:sz w:val="28"/>
          <w:szCs w:val="28"/>
        </w:rPr>
        <w:t>ang</w:t>
      </w:r>
      <w:proofErr w:type="spellEnd"/>
      <w:r w:rsidR="0012231E">
        <w:rPr>
          <w:sz w:val="28"/>
          <w:szCs w:val="28"/>
        </w:rPr>
        <w:t>- which is</w:t>
      </w:r>
      <w:r>
        <w:rPr>
          <w:sz w:val="28"/>
          <w:szCs w:val="28"/>
        </w:rPr>
        <w:t xml:space="preserve"> supporting acad</w:t>
      </w:r>
      <w:r w:rsidR="0012231E">
        <w:rPr>
          <w:sz w:val="28"/>
          <w:szCs w:val="28"/>
        </w:rPr>
        <w:t xml:space="preserve">emically sound and financially </w:t>
      </w:r>
      <w:r>
        <w:rPr>
          <w:sz w:val="28"/>
          <w:szCs w:val="28"/>
        </w:rPr>
        <w:t>needy students</w:t>
      </w:r>
      <w:r w:rsidR="0012231E">
        <w:rPr>
          <w:sz w:val="28"/>
          <w:szCs w:val="28"/>
        </w:rPr>
        <w:t>-</w:t>
      </w:r>
      <w:r>
        <w:rPr>
          <w:sz w:val="28"/>
          <w:szCs w:val="28"/>
        </w:rPr>
        <w:t xml:space="preserve"> makes it necessary to follow a very strict screening </w:t>
      </w:r>
      <w:proofErr w:type="gramStart"/>
      <w:r>
        <w:rPr>
          <w:sz w:val="28"/>
          <w:szCs w:val="28"/>
        </w:rPr>
        <w:t>procedure .</w:t>
      </w:r>
      <w:proofErr w:type="gramEnd"/>
    </w:p>
    <w:p w:rsidR="00B37FB0" w:rsidRDefault="00342B7A">
      <w:pPr>
        <w:rPr>
          <w:sz w:val="28"/>
          <w:szCs w:val="28"/>
        </w:rPr>
      </w:pPr>
      <w:r>
        <w:rPr>
          <w:sz w:val="28"/>
          <w:szCs w:val="28"/>
        </w:rPr>
        <w:t xml:space="preserve">Screening is done for both </w:t>
      </w:r>
      <w:proofErr w:type="gramStart"/>
      <w:r>
        <w:rPr>
          <w:sz w:val="28"/>
          <w:szCs w:val="28"/>
        </w:rPr>
        <w:t>students  already</w:t>
      </w:r>
      <w:proofErr w:type="gramEnd"/>
      <w:r>
        <w:rPr>
          <w:sz w:val="28"/>
          <w:szCs w:val="28"/>
        </w:rPr>
        <w:t xml:space="preserve"> existing under </w:t>
      </w:r>
      <w:proofErr w:type="spellStart"/>
      <w:r>
        <w:rPr>
          <w:sz w:val="28"/>
          <w:szCs w:val="28"/>
        </w:rPr>
        <w:t>Umang</w:t>
      </w:r>
      <w:proofErr w:type="spellEnd"/>
      <w:r>
        <w:rPr>
          <w:sz w:val="28"/>
          <w:szCs w:val="28"/>
        </w:rPr>
        <w:t xml:space="preserve"> as well as new students .To include new students under </w:t>
      </w:r>
      <w:proofErr w:type="spellStart"/>
      <w:r>
        <w:rPr>
          <w:sz w:val="28"/>
          <w:szCs w:val="28"/>
        </w:rPr>
        <w:t>Umang</w:t>
      </w:r>
      <w:proofErr w:type="spellEnd"/>
      <w:r w:rsidR="0090308A">
        <w:rPr>
          <w:sz w:val="28"/>
          <w:szCs w:val="28"/>
        </w:rPr>
        <w:t>,</w:t>
      </w:r>
      <w:r>
        <w:rPr>
          <w:sz w:val="28"/>
          <w:szCs w:val="28"/>
        </w:rPr>
        <w:t xml:space="preserve"> in the beginning of the semester a list of financially weak students</w:t>
      </w:r>
      <w:r w:rsidR="0090308A">
        <w:rPr>
          <w:sz w:val="28"/>
          <w:szCs w:val="28"/>
        </w:rPr>
        <w:t xml:space="preserve"> from every class </w:t>
      </w:r>
      <w:r>
        <w:rPr>
          <w:sz w:val="28"/>
          <w:szCs w:val="28"/>
        </w:rPr>
        <w:t xml:space="preserve"> is obtained from the Principals of different schools in </w:t>
      </w:r>
      <w:proofErr w:type="spellStart"/>
      <w:r>
        <w:rPr>
          <w:sz w:val="28"/>
          <w:szCs w:val="28"/>
        </w:rPr>
        <w:t>Pilani</w:t>
      </w:r>
      <w:proofErr w:type="spellEnd"/>
      <w:r w:rsidR="0012231E">
        <w:rPr>
          <w:sz w:val="28"/>
          <w:szCs w:val="28"/>
        </w:rPr>
        <w:t xml:space="preserve"> </w:t>
      </w:r>
      <w:r>
        <w:rPr>
          <w:sz w:val="28"/>
          <w:szCs w:val="28"/>
        </w:rPr>
        <w:t>.</w:t>
      </w:r>
      <w:r w:rsidR="0090308A">
        <w:rPr>
          <w:sz w:val="28"/>
          <w:szCs w:val="28"/>
        </w:rPr>
        <w:t xml:space="preserve">A test to check the basic fundamentals of the students in subjects like maths and science is taken by volunteers of </w:t>
      </w:r>
      <w:proofErr w:type="spellStart"/>
      <w:r w:rsidR="0090308A">
        <w:rPr>
          <w:sz w:val="28"/>
          <w:szCs w:val="28"/>
        </w:rPr>
        <w:t>Umang</w:t>
      </w:r>
      <w:proofErr w:type="spellEnd"/>
      <w:r w:rsidR="0090308A">
        <w:rPr>
          <w:sz w:val="28"/>
          <w:szCs w:val="28"/>
        </w:rPr>
        <w:t>.</w:t>
      </w:r>
      <w:r w:rsidR="0012231E">
        <w:rPr>
          <w:sz w:val="28"/>
          <w:szCs w:val="28"/>
        </w:rPr>
        <w:t xml:space="preserve"> </w:t>
      </w:r>
      <w:r w:rsidR="0090308A">
        <w:rPr>
          <w:sz w:val="28"/>
          <w:szCs w:val="28"/>
        </w:rPr>
        <w:t>Based on the test’s result and academic performance in school a decision is taken abo</w:t>
      </w:r>
      <w:r w:rsidR="0012231E">
        <w:rPr>
          <w:sz w:val="28"/>
          <w:szCs w:val="28"/>
        </w:rPr>
        <w:t>ut whether or not the student is</w:t>
      </w:r>
      <w:r w:rsidR="0090308A">
        <w:rPr>
          <w:sz w:val="28"/>
          <w:szCs w:val="28"/>
        </w:rPr>
        <w:t xml:space="preserve"> academically worthy enough for the scholarship</w:t>
      </w:r>
      <w:r w:rsidR="0012231E">
        <w:rPr>
          <w:sz w:val="28"/>
          <w:szCs w:val="28"/>
        </w:rPr>
        <w:t xml:space="preserve"> </w:t>
      </w:r>
      <w:r w:rsidR="0090308A">
        <w:rPr>
          <w:sz w:val="28"/>
          <w:szCs w:val="28"/>
        </w:rPr>
        <w:t>.After this a visit is undertaken by the volunteers to the selected students’ homes to assess their financial condition .</w:t>
      </w:r>
    </w:p>
    <w:p w:rsidR="0090308A" w:rsidRDefault="0090308A">
      <w:pPr>
        <w:rPr>
          <w:sz w:val="28"/>
          <w:szCs w:val="28"/>
        </w:rPr>
      </w:pPr>
      <w:r>
        <w:rPr>
          <w:sz w:val="28"/>
          <w:szCs w:val="28"/>
        </w:rPr>
        <w:t xml:space="preserve">Based on the financial needs and academic potential  a decision is taken about whether or not to include the child under </w:t>
      </w:r>
      <w:proofErr w:type="spellStart"/>
      <w:r>
        <w:rPr>
          <w:sz w:val="28"/>
          <w:szCs w:val="28"/>
        </w:rPr>
        <w:t>Umang</w:t>
      </w:r>
      <w:proofErr w:type="spellEnd"/>
      <w:r>
        <w:rPr>
          <w:sz w:val="28"/>
          <w:szCs w:val="28"/>
        </w:rPr>
        <w:t xml:space="preserve"> and in case of inclusion the percentage of fees to be paid in that academic session.</w:t>
      </w:r>
    </w:p>
    <w:p w:rsidR="0090308A" w:rsidRDefault="0090308A">
      <w:pPr>
        <w:rPr>
          <w:sz w:val="28"/>
          <w:szCs w:val="28"/>
        </w:rPr>
      </w:pPr>
      <w:r>
        <w:rPr>
          <w:sz w:val="28"/>
          <w:szCs w:val="28"/>
        </w:rPr>
        <w:t>For the existing students as the information about financial situation is already verified only the academic</w:t>
      </w:r>
      <w:r w:rsidR="0012231E">
        <w:rPr>
          <w:sz w:val="28"/>
          <w:szCs w:val="28"/>
        </w:rPr>
        <w:t xml:space="preserve"> </w:t>
      </w:r>
      <w:r>
        <w:rPr>
          <w:sz w:val="28"/>
          <w:szCs w:val="28"/>
        </w:rPr>
        <w:t xml:space="preserve">  gauging is done based on </w:t>
      </w:r>
      <w:proofErr w:type="gramStart"/>
      <w:r>
        <w:rPr>
          <w:sz w:val="28"/>
          <w:szCs w:val="28"/>
        </w:rPr>
        <w:t>which  the</w:t>
      </w:r>
      <w:proofErr w:type="gramEnd"/>
      <w:r>
        <w:rPr>
          <w:sz w:val="28"/>
          <w:szCs w:val="28"/>
        </w:rPr>
        <w:t xml:space="preserve"> continuation of the scholarship or reduction or increment in</w:t>
      </w:r>
      <w:r w:rsidR="0012231E">
        <w:rPr>
          <w:sz w:val="28"/>
          <w:szCs w:val="28"/>
        </w:rPr>
        <w:t xml:space="preserve"> terms of</w:t>
      </w:r>
      <w:r>
        <w:rPr>
          <w:sz w:val="28"/>
          <w:szCs w:val="28"/>
        </w:rPr>
        <w:t xml:space="preserve"> percentage of fees is </w:t>
      </w:r>
      <w:r w:rsidR="002E472A">
        <w:rPr>
          <w:sz w:val="28"/>
          <w:szCs w:val="28"/>
        </w:rPr>
        <w:t>decided.</w:t>
      </w:r>
    </w:p>
    <w:p w:rsidR="002E472A" w:rsidRDefault="002E472A">
      <w:pPr>
        <w:rPr>
          <w:sz w:val="28"/>
          <w:szCs w:val="28"/>
        </w:rPr>
      </w:pPr>
      <w:r>
        <w:rPr>
          <w:sz w:val="28"/>
          <w:szCs w:val="28"/>
        </w:rPr>
        <w:t xml:space="preserve">Finally the list of students to be included under </w:t>
      </w:r>
      <w:proofErr w:type="spellStart"/>
      <w:proofErr w:type="gramStart"/>
      <w:r>
        <w:rPr>
          <w:sz w:val="28"/>
          <w:szCs w:val="28"/>
        </w:rPr>
        <w:t>Umang</w:t>
      </w:r>
      <w:proofErr w:type="spellEnd"/>
      <w:r>
        <w:rPr>
          <w:sz w:val="28"/>
          <w:szCs w:val="28"/>
        </w:rPr>
        <w:t xml:space="preserve">  is</w:t>
      </w:r>
      <w:proofErr w:type="gramEnd"/>
      <w:r>
        <w:rPr>
          <w:sz w:val="28"/>
          <w:szCs w:val="28"/>
        </w:rPr>
        <w:t xml:space="preserve"> prepared by  the first month of that semester.</w:t>
      </w:r>
    </w:p>
    <w:p w:rsidR="002E472A" w:rsidRDefault="002E472A">
      <w:pPr>
        <w:rPr>
          <w:sz w:val="28"/>
          <w:szCs w:val="28"/>
        </w:rPr>
      </w:pPr>
      <w:r>
        <w:rPr>
          <w:sz w:val="28"/>
          <w:szCs w:val="28"/>
        </w:rPr>
        <w:t>COLLECTION AND FEE PAYMENT:</w:t>
      </w:r>
    </w:p>
    <w:p w:rsidR="002E472A" w:rsidRDefault="002E472A">
      <w:pPr>
        <w:rPr>
          <w:sz w:val="28"/>
          <w:szCs w:val="28"/>
        </w:rPr>
      </w:pPr>
      <w:r>
        <w:rPr>
          <w:sz w:val="28"/>
          <w:szCs w:val="28"/>
        </w:rPr>
        <w:t xml:space="preserve">The collection is done in only 1 semester in an academic </w:t>
      </w:r>
      <w:proofErr w:type="spellStart"/>
      <w:r>
        <w:rPr>
          <w:sz w:val="28"/>
          <w:szCs w:val="28"/>
        </w:rPr>
        <w:t>session.The</w:t>
      </w:r>
      <w:proofErr w:type="spellEnd"/>
      <w:r>
        <w:rPr>
          <w:sz w:val="28"/>
          <w:szCs w:val="28"/>
        </w:rPr>
        <w:t xml:space="preserve"> method is illustrated through the following flowchart.</w:t>
      </w:r>
    </w:p>
    <w:p w:rsidR="002E472A" w:rsidRDefault="002E472A">
      <w:pPr>
        <w:rPr>
          <w:sz w:val="28"/>
          <w:szCs w:val="28"/>
        </w:rPr>
      </w:pPr>
      <w:r w:rsidRPr="002E472A">
        <w:rPr>
          <w:noProof/>
          <w:sz w:val="28"/>
          <w:szCs w:val="28"/>
          <w:lang w:eastAsia="en-IN"/>
        </w:rPr>
        <w:drawing>
          <wp:inline distT="0" distB="0" distL="0" distR="0">
            <wp:extent cx="5731510" cy="4150446"/>
            <wp:effectExtent l="0" t="0" r="2540" b="0"/>
            <wp:docPr id="2"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839200" cy="6400800"/>
                      <a:chOff x="304800" y="152400"/>
                      <a:chExt cx="8839200" cy="6400800"/>
                    </a:xfrm>
                  </a:grpSpPr>
                  <a:graphicFrame>
                    <a:nvGraphicFramePr>
                      <a:cNvPr id="4" name="Content Placeholder 3"/>
                      <a:cNvGraphicFramePr>
                        <a:graphicFrameLocks noGrp="1"/>
                      </a:cNvGraphicFramePr>
                    </a:nvGraphicFramePr>
                    <a:graphic>
                      <a:graphicData uri="http://schemas.openxmlformats.org/drawingml/2006/diagram">
                        <dgm:relIds xmlns:dgm="http://schemas.openxmlformats.org/drawingml/2006/diagram" xmlns:r="http://schemas.openxmlformats.org/officeDocument/2006/relationships" r:dm="rId4" r:lo="rId5" r:qs="rId6" r:cs="rId7"/>
                      </a:graphicData>
                    </a:graphic>
                    <a:xfrm>
                      <a:off x="304800" y="152400"/>
                      <a:ext cx="8839200" cy="4678362"/>
                    </a:xfrm>
                  </a:graphicFrame>
                  <a:sp>
                    <a:nvSpPr>
                      <a:cNvPr id="9" name="Content Placeholder 8"/>
                      <a:cNvSpPr>
                        <a:spLocks noGrp="1"/>
                      </a:cNvSpPr>
                    </a:nvSpPr>
                    <a:spPr bwMode="auto">
                      <a:xfrm>
                        <a:off x="304800" y="152400"/>
                        <a:ext cx="6324600" cy="1143000"/>
                      </a:xfrm>
                      <a:prstGeom prst="rect">
                        <a:avLst/>
                      </a:prstGeom>
                      <a:noFill/>
                      <a:ln w="9525">
                        <a:noFill/>
                        <a:miter lim="800000"/>
                        <a:headEnd/>
                        <a:tailEnd/>
                      </a:ln>
                    </a:spPr>
                    <a:txSp>
                      <a:txBody>
                        <a:bodyPr vert="horz" wrap="square" lIns="91440" tIns="45720" rIns="91440" bIns="45720" numCol="1" anchor="ctr" anchorCtr="0" compatLnSpc="1">
                          <a:prstTxWarp prst="textNoShape">
                            <a:avLst/>
                          </a:prstTxWarp>
                          <a:normAutofit/>
                        </a:bodyPr>
                        <a:lstStyle>
                          <a:lvl1pPr marL="0" indent="-342900" algn="l" rtl="0" eaLnBrk="0" fontAlgn="base" hangingPunct="0">
                            <a:lnSpc>
                              <a:spcPts val="3600"/>
                            </a:lnSpc>
                            <a:spcBef>
                              <a:spcPts val="0"/>
                            </a:spcBef>
                            <a:spcAft>
                              <a:spcPct val="0"/>
                            </a:spcAft>
                            <a:buFont typeface="Arial" charset="0"/>
                            <a:buNone/>
                            <a:defRPr sz="3600" b="1" kern="1200" spc="-150" baseline="0">
                              <a:solidFill>
                                <a:schemeClr val="tx1"/>
                              </a:solidFill>
                              <a:latin typeface="Arial" pitchFamily="34" charset="0"/>
                              <a:ea typeface="+mn-ea"/>
                              <a:cs typeface="Arial" pitchFamily="34" charset="0"/>
                            </a:defRPr>
                          </a:lvl1pPr>
                          <a:lvl2pPr marL="742950" indent="-285750" algn="l" rtl="0" eaLnBrk="0" fontAlgn="base" hangingPunct="0">
                            <a:spcBef>
                              <a:spcPct val="20000"/>
                            </a:spcBef>
                            <a:spcAft>
                              <a:spcPct val="0"/>
                            </a:spcAft>
                            <a:buFont typeface="Arial" charset="0"/>
                            <a:buChar char="–"/>
                            <a:defRPr sz="2800" kern="1200">
                              <a:solidFill>
                                <a:schemeClr val="tx1"/>
                              </a:solidFill>
                              <a:latin typeface="Arial" pitchFamily="34" charset="0"/>
                              <a:ea typeface="+mn-ea"/>
                              <a:cs typeface="Arial" pitchFamily="34" charset="0"/>
                            </a:defRPr>
                          </a:lvl2pPr>
                          <a:lvl3pPr marL="1143000" indent="-228600" algn="l" rtl="0" eaLnBrk="0" fontAlgn="base" hangingPunct="0">
                            <a:spcBef>
                              <a:spcPct val="20000"/>
                            </a:spcBef>
                            <a:spcAft>
                              <a:spcPct val="0"/>
                            </a:spcAft>
                            <a:buFont typeface="Arial" charset="0"/>
                            <a:buChar char="•"/>
                            <a:defRPr sz="2400" kern="1200">
                              <a:solidFill>
                                <a:schemeClr val="tx1"/>
                              </a:solidFill>
                              <a:latin typeface="Arial" pitchFamily="34" charset="0"/>
                              <a:ea typeface="+mn-ea"/>
                              <a:cs typeface="Arial" pitchFamily="34" charset="0"/>
                            </a:defRPr>
                          </a:lvl3pPr>
                          <a:lvl4pPr marL="1600200" indent="-228600" algn="l" rtl="0" eaLnBrk="0" fontAlgn="base" hangingPunct="0">
                            <a:spcBef>
                              <a:spcPct val="20000"/>
                            </a:spcBef>
                            <a:spcAft>
                              <a:spcPct val="0"/>
                            </a:spcAft>
                            <a:buFont typeface="Arial" charset="0"/>
                            <a:buChar char="–"/>
                            <a:defRPr sz="2000" kern="1200">
                              <a:solidFill>
                                <a:schemeClr val="tx1"/>
                              </a:solidFill>
                              <a:latin typeface="Arial" pitchFamily="34" charset="0"/>
                              <a:ea typeface="+mn-ea"/>
                              <a:cs typeface="Arial" pitchFamily="34" charset="0"/>
                            </a:defRPr>
                          </a:lvl4pPr>
                          <a:lvl5pPr marL="2057400" indent="-228600" algn="l" rtl="0" eaLnBrk="0" fontAlgn="base" hangingPunct="0">
                            <a:spcBef>
                              <a:spcPct val="20000"/>
                            </a:spcBef>
                            <a:spcAft>
                              <a:spcPct val="0"/>
                            </a:spcAft>
                            <a:buFont typeface="Arial" charset="0"/>
                            <a:buChar char="»"/>
                            <a:defRPr sz="2000" kern="1200">
                              <a:solidFill>
                                <a:schemeClr val="tx1"/>
                              </a:solidFill>
                              <a:latin typeface="Arial" pitchFamily="34" charset="0"/>
                              <a:ea typeface="+mn-ea"/>
                              <a:cs typeface="Arial" pitchFamily="34" charset="0"/>
                            </a:defRPr>
                          </a:lvl5pPr>
                          <a:lvl6pPr marL="2514600" indent="-228600" algn="l" defTabSz="914400" rtl="0" eaLnBrk="1" latinLnBrk="0" hangingPunct="1">
                            <a:spcBef>
                              <a:spcPct val="20000"/>
                            </a:spcBef>
                            <a:buFont typeface="Arial" pitchFamily="34" charset="0"/>
                            <a:buChar char="•"/>
                            <a:defRPr sz="2000" kern="1200">
                              <a:solidFill>
                                <a:schemeClr val="tx1"/>
                              </a:solidFill>
                              <a:latin typeface="+mn-lt"/>
                              <a:ea typeface="+mn-ea"/>
                              <a:cs typeface="+mn-cs"/>
                            </a:defRPr>
                          </a:lvl6pPr>
                          <a:lvl7pPr marL="2971800" indent="-228600" algn="l" defTabSz="914400" rtl="0" eaLnBrk="1" latinLnBrk="0" hangingPunct="1">
                            <a:spcBef>
                              <a:spcPct val="20000"/>
                            </a:spcBef>
                            <a:buFont typeface="Arial" pitchFamily="34" charset="0"/>
                            <a:buChar char="•"/>
                            <a:defRPr sz="2000" kern="1200">
                              <a:solidFill>
                                <a:schemeClr val="tx1"/>
                              </a:solidFill>
                              <a:latin typeface="+mn-lt"/>
                              <a:ea typeface="+mn-ea"/>
                              <a:cs typeface="+mn-cs"/>
                            </a:defRPr>
                          </a:lvl7pPr>
                          <a:lvl8pPr marL="3429000" indent="-228600" algn="l" defTabSz="914400" rtl="0" eaLnBrk="1" latinLnBrk="0" hangingPunct="1">
                            <a:spcBef>
                              <a:spcPct val="20000"/>
                            </a:spcBef>
                            <a:buFont typeface="Arial" pitchFamily="34" charset="0"/>
                            <a:buChar char="•"/>
                            <a:defRPr sz="2000" kern="1200">
                              <a:solidFill>
                                <a:schemeClr val="tx1"/>
                              </a:solidFill>
                              <a:latin typeface="+mn-lt"/>
                              <a:ea typeface="+mn-ea"/>
                              <a:cs typeface="+mn-cs"/>
                            </a:defRPr>
                          </a:lvl8pPr>
                          <a:lvl9pPr marL="3886200" indent="-228600" algn="l" defTabSz="914400" rtl="0" eaLnBrk="1" latinLnBrk="0" hangingPunct="1">
                            <a:spcBef>
                              <a:spcPct val="20000"/>
                            </a:spcBef>
                            <a:buFont typeface="Arial" pitchFamily="34" charset="0"/>
                            <a:buChar char="•"/>
                            <a:defRPr sz="2000" kern="1200">
                              <a:solidFill>
                                <a:schemeClr val="tx1"/>
                              </a:solidFill>
                              <a:latin typeface="+mn-lt"/>
                              <a:ea typeface="+mn-ea"/>
                              <a:cs typeface="+mn-cs"/>
                            </a:defRPr>
                          </a:lvl9pPr>
                        </a:lstStyle>
                        <a:p>
                          <a:endParaRPr lang="en-US" dirty="0"/>
                        </a:p>
                      </a:txBody>
                      <a:useSpRect/>
                    </a:txSp>
                  </a:sp>
                  <a:sp>
                    <a:nvSpPr>
                      <a:cNvPr id="10" name="Content Placeholder 2"/>
                      <a:cNvSpPr txBox="1">
                        <a:spLocks/>
                      </a:cNvSpPr>
                    </a:nvSpPr>
                    <a:spPr bwMode="auto">
                      <a:xfrm>
                        <a:off x="304800" y="5410200"/>
                        <a:ext cx="6324600" cy="1143000"/>
                      </a:xfrm>
                      <a:prstGeom prst="rect">
                        <a:avLst/>
                      </a:prstGeom>
                      <a:noFill/>
                      <a:ln w="9525">
                        <a:noFill/>
                        <a:miter lim="800000"/>
                        <a:headEnd/>
                        <a:tailEnd/>
                      </a:ln>
                    </a:spPr>
                    <a:txSp>
                      <a:txBody>
                        <a:bodyPr vert="horz" wrap="square" lIns="91440" tIns="45720" rIns="91440" bIns="45720" numCol="1" anchor="ctr" anchorCtr="0" compatLnSpc="1">
                          <a:prstTxWarp prst="textNoShape">
                            <a:avLst/>
                          </a:prstTxWarp>
                          <a:normAutofit/>
                        </a:bodyPr>
                        <a:lstStyle>
                          <a:defPPr>
                            <a:defRPr lang="en-US"/>
                          </a:defPPr>
                          <a:lvl1pPr algn="l" rtl="0" fontAlgn="base">
                            <a:spcBef>
                              <a:spcPct val="0"/>
                            </a:spcBef>
                            <a:spcAft>
                              <a:spcPct val="0"/>
                            </a:spcAft>
                            <a:defRPr kern="1200">
                              <a:solidFill>
                                <a:schemeClr val="tx1"/>
                              </a:solidFill>
                              <a:latin typeface="Calibri" pitchFamily="34" charset="0"/>
                              <a:ea typeface="+mn-ea"/>
                              <a:cs typeface="Arial" charset="0"/>
                            </a:defRPr>
                          </a:lvl1pPr>
                          <a:lvl2pPr marL="457200" algn="l" rtl="0" fontAlgn="base">
                            <a:spcBef>
                              <a:spcPct val="0"/>
                            </a:spcBef>
                            <a:spcAft>
                              <a:spcPct val="0"/>
                            </a:spcAft>
                            <a:defRPr kern="1200">
                              <a:solidFill>
                                <a:schemeClr val="tx1"/>
                              </a:solidFill>
                              <a:latin typeface="Calibri" pitchFamily="34" charset="0"/>
                              <a:ea typeface="+mn-ea"/>
                              <a:cs typeface="Arial" charset="0"/>
                            </a:defRPr>
                          </a:lvl2pPr>
                          <a:lvl3pPr marL="914400" algn="l" rtl="0" fontAlgn="base">
                            <a:spcBef>
                              <a:spcPct val="0"/>
                            </a:spcBef>
                            <a:spcAft>
                              <a:spcPct val="0"/>
                            </a:spcAft>
                            <a:defRPr kern="1200">
                              <a:solidFill>
                                <a:schemeClr val="tx1"/>
                              </a:solidFill>
                              <a:latin typeface="Calibri" pitchFamily="34" charset="0"/>
                              <a:ea typeface="+mn-ea"/>
                              <a:cs typeface="Arial" charset="0"/>
                            </a:defRPr>
                          </a:lvl3pPr>
                          <a:lvl4pPr marL="1371600" algn="l" rtl="0" fontAlgn="base">
                            <a:spcBef>
                              <a:spcPct val="0"/>
                            </a:spcBef>
                            <a:spcAft>
                              <a:spcPct val="0"/>
                            </a:spcAft>
                            <a:defRPr kern="1200">
                              <a:solidFill>
                                <a:schemeClr val="tx1"/>
                              </a:solidFill>
                              <a:latin typeface="Calibri" pitchFamily="34" charset="0"/>
                              <a:ea typeface="+mn-ea"/>
                              <a:cs typeface="Arial" charset="0"/>
                            </a:defRPr>
                          </a:lvl4pPr>
                          <a:lvl5pPr marL="1828800" algn="l" rtl="0" fontAlgn="base">
                            <a:spcBef>
                              <a:spcPct val="0"/>
                            </a:spcBef>
                            <a:spcAft>
                              <a:spcPct val="0"/>
                            </a:spcAft>
                            <a:defRPr kern="1200">
                              <a:solidFill>
                                <a:schemeClr val="tx1"/>
                              </a:solidFill>
                              <a:latin typeface="Calibri" pitchFamily="34" charset="0"/>
                              <a:ea typeface="+mn-ea"/>
                              <a:cs typeface="Arial" charset="0"/>
                            </a:defRPr>
                          </a:lvl5pPr>
                          <a:lvl6pPr marL="2286000" algn="l" defTabSz="914400" rtl="0" eaLnBrk="1" latinLnBrk="0" hangingPunct="1">
                            <a:defRPr kern="1200">
                              <a:solidFill>
                                <a:schemeClr val="tx1"/>
                              </a:solidFill>
                              <a:latin typeface="Calibri" pitchFamily="34" charset="0"/>
                              <a:ea typeface="+mn-ea"/>
                              <a:cs typeface="Arial" charset="0"/>
                            </a:defRPr>
                          </a:lvl6pPr>
                          <a:lvl7pPr marL="2743200" algn="l" defTabSz="914400" rtl="0" eaLnBrk="1" latinLnBrk="0" hangingPunct="1">
                            <a:defRPr kern="1200">
                              <a:solidFill>
                                <a:schemeClr val="tx1"/>
                              </a:solidFill>
                              <a:latin typeface="Calibri" pitchFamily="34" charset="0"/>
                              <a:ea typeface="+mn-ea"/>
                              <a:cs typeface="Arial" charset="0"/>
                            </a:defRPr>
                          </a:lvl7pPr>
                          <a:lvl8pPr marL="3200400" algn="l" defTabSz="914400" rtl="0" eaLnBrk="1" latinLnBrk="0" hangingPunct="1">
                            <a:defRPr kern="1200">
                              <a:solidFill>
                                <a:schemeClr val="tx1"/>
                              </a:solidFill>
                              <a:latin typeface="Calibri" pitchFamily="34" charset="0"/>
                              <a:ea typeface="+mn-ea"/>
                              <a:cs typeface="Arial" charset="0"/>
                            </a:defRPr>
                          </a:lvl8pPr>
                          <a:lvl9pPr marL="3657600" algn="l" defTabSz="914400" rtl="0" eaLnBrk="1" latinLnBrk="0" hangingPunct="1">
                            <a:defRPr kern="1200">
                              <a:solidFill>
                                <a:schemeClr val="tx1"/>
                              </a:solidFill>
                              <a:latin typeface="Calibri" pitchFamily="34" charset="0"/>
                              <a:ea typeface="+mn-ea"/>
                              <a:cs typeface="Arial" charset="0"/>
                            </a:defRPr>
                          </a:lvl9pPr>
                        </a:lstStyle>
                        <a:p>
                          <a:pPr marL="0" marR="0" lvl="0" indent="-342900" algn="l" defTabSz="914400" rtl="0" eaLnBrk="0" fontAlgn="base" latinLnBrk="0" hangingPunct="0">
                            <a:lnSpc>
                              <a:spcPts val="3600"/>
                            </a:lnSpc>
                            <a:spcBef>
                              <a:spcPts val="0"/>
                            </a:spcBef>
                            <a:spcAft>
                              <a:spcPct val="0"/>
                            </a:spcAft>
                            <a:buClrTx/>
                            <a:buSzTx/>
                            <a:buFont typeface="Arial" charset="0"/>
                            <a:buNone/>
                            <a:tabLst/>
                            <a:defRPr/>
                          </a:pPr>
                          <a:r>
                            <a:rPr kumimoji="0" lang="en-US" sz="3600" b="1" i="0" u="none" strike="noStrike" kern="1200" cap="none" spc="-150" normalizeH="0" baseline="0" noProof="0" smtClean="0">
                              <a:ln>
                                <a:noFill/>
                              </a:ln>
                              <a:solidFill>
                                <a:schemeClr val="tx1"/>
                              </a:solidFill>
                              <a:effectLst/>
                              <a:uLnTx/>
                              <a:uFillTx/>
                              <a:latin typeface="Arial" pitchFamily="34" charset="0"/>
                              <a:ea typeface="+mn-ea"/>
                              <a:cs typeface="Arial" pitchFamily="34" charset="0"/>
                            </a:rPr>
                            <a:t>No Cash involved</a:t>
                          </a:r>
                          <a:endParaRPr kumimoji="0" lang="en-US" sz="3600" b="1" i="0" u="none" strike="noStrike" kern="1200" cap="none" spc="-150" normalizeH="0" baseline="0" noProof="0" dirty="0">
                            <a:ln>
                              <a:noFill/>
                            </a:ln>
                            <a:solidFill>
                              <a:schemeClr val="tx1"/>
                            </a:solidFill>
                            <a:effectLst/>
                            <a:uLnTx/>
                            <a:uFillTx/>
                            <a:latin typeface="Arial" pitchFamily="34" charset="0"/>
                            <a:ea typeface="+mn-ea"/>
                            <a:cs typeface="Arial" pitchFamily="34" charset="0"/>
                          </a:endParaRPr>
                        </a:p>
                      </a:txBody>
                      <a:useSpRect/>
                    </a:txSp>
                  </a:sp>
                </lc:lockedCanvas>
              </a:graphicData>
            </a:graphic>
          </wp:inline>
        </w:drawing>
      </w:r>
    </w:p>
    <w:p w:rsidR="000C1475" w:rsidRDefault="000C1475">
      <w:pPr>
        <w:rPr>
          <w:sz w:val="28"/>
          <w:szCs w:val="28"/>
        </w:rPr>
      </w:pPr>
      <w:r>
        <w:rPr>
          <w:sz w:val="28"/>
          <w:szCs w:val="28"/>
        </w:rPr>
        <w:t>YEAR ROUND MENTORSHIP AND ACADEMIC FOLLOW-UP:</w:t>
      </w:r>
    </w:p>
    <w:p w:rsidR="003E7DF9" w:rsidRDefault="003E7DF9">
      <w:pPr>
        <w:rPr>
          <w:sz w:val="28"/>
          <w:szCs w:val="28"/>
        </w:rPr>
      </w:pPr>
      <w:proofErr w:type="spellStart"/>
      <w:r>
        <w:rPr>
          <w:sz w:val="28"/>
          <w:szCs w:val="28"/>
        </w:rPr>
        <w:t>Umang</w:t>
      </w:r>
      <w:proofErr w:type="spellEnd"/>
      <w:r>
        <w:rPr>
          <w:sz w:val="28"/>
          <w:szCs w:val="28"/>
        </w:rPr>
        <w:t xml:space="preserve"> not only recognises the academic potential of the students but also tries to nurture it and develop it. With regular visits and an intense follow-up of the academic progress of the students </w:t>
      </w:r>
      <w:proofErr w:type="spellStart"/>
      <w:r>
        <w:rPr>
          <w:sz w:val="28"/>
          <w:szCs w:val="28"/>
        </w:rPr>
        <w:t>Umang</w:t>
      </w:r>
      <w:proofErr w:type="spellEnd"/>
      <w:r>
        <w:rPr>
          <w:sz w:val="28"/>
          <w:szCs w:val="28"/>
        </w:rPr>
        <w:t xml:space="preserve"> volunteers  try to keep the passion for studying intact among the selected students .These students are provided with academic counselling ,guidance ,moral support or any feasible mode of help to help realise their dreams.</w:t>
      </w:r>
    </w:p>
    <w:p w:rsidR="000C1475" w:rsidRDefault="000C1475">
      <w:pPr>
        <w:rPr>
          <w:sz w:val="28"/>
          <w:szCs w:val="28"/>
        </w:rPr>
      </w:pPr>
    </w:p>
    <w:sectPr w:rsidR="000C1475" w:rsidSect="0086365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savePreviewPicture/>
  <w:compat/>
  <w:rsids>
    <w:rsidRoot w:val="00E14BB2"/>
    <w:rsid w:val="00086C1B"/>
    <w:rsid w:val="000C1475"/>
    <w:rsid w:val="0012231E"/>
    <w:rsid w:val="002503F1"/>
    <w:rsid w:val="002A3692"/>
    <w:rsid w:val="002E472A"/>
    <w:rsid w:val="00342B7A"/>
    <w:rsid w:val="003E7DF9"/>
    <w:rsid w:val="00863656"/>
    <w:rsid w:val="00886F25"/>
    <w:rsid w:val="0090308A"/>
    <w:rsid w:val="009247C7"/>
    <w:rsid w:val="00B37FB0"/>
    <w:rsid w:val="00C60992"/>
    <w:rsid w:val="00C612F6"/>
    <w:rsid w:val="00DE1DBA"/>
    <w:rsid w:val="00E14BB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365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E47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472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microsoft.com/office/2007/relationships/diagramDrawing" Target="diagrams/drawing1.xml"/><Relationship Id="rId3" Type="http://schemas.openxmlformats.org/officeDocument/2006/relationships/webSettings" Target="webSettings.xml"/><Relationship Id="rId7" Type="http://schemas.openxmlformats.org/officeDocument/2006/relationships/diagramColors" Target="diagrams/colors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QuickStyle" Target="diagrams/quickStyle1.xml"/><Relationship Id="rId5" Type="http://schemas.openxmlformats.org/officeDocument/2006/relationships/diagramLayout" Target="diagrams/layout1.xml"/><Relationship Id="rId10" Type="http://schemas.openxmlformats.org/officeDocument/2006/relationships/theme" Target="theme/theme1.xml"/><Relationship Id="rId4" Type="http://schemas.openxmlformats.org/officeDocument/2006/relationships/diagramData" Target="diagrams/data1.xml"/><Relationship Id="rId9"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03210C-A14B-4B28-B24E-05E4027F253E}" type="doc">
      <dgm:prSet loTypeId="urn:microsoft.com/office/officeart/2005/8/layout/vProcess5" loCatId="process" qsTypeId="urn:microsoft.com/office/officeart/2005/8/quickstyle/3d1" qsCatId="3D" csTypeId="urn:microsoft.com/office/officeart/2005/8/colors/accent3_2" csCatId="accent3" phldr="1"/>
      <dgm:spPr/>
      <dgm:t>
        <a:bodyPr/>
        <a:lstStyle/>
        <a:p>
          <a:endParaRPr lang="en-US"/>
        </a:p>
      </dgm:t>
    </dgm:pt>
    <dgm:pt modelId="{2270D798-D76E-4B3B-BA49-5730C8F64D52}">
      <dgm:prSet phldrT="[Text]"/>
      <dgm:spPr/>
      <dgm:t>
        <a:bodyPr/>
        <a:lstStyle/>
        <a:p>
          <a:r>
            <a:rPr lang="en-US" dirty="0" smtClean="0"/>
            <a:t>Door to door collection from </a:t>
          </a:r>
          <a:r>
            <a:rPr lang="en-US" dirty="0" err="1" smtClean="0"/>
            <a:t>Bitsians</a:t>
          </a:r>
          <a:r>
            <a:rPr lang="en-US" dirty="0" smtClean="0"/>
            <a:t> through </a:t>
          </a:r>
          <a:r>
            <a:rPr lang="en-US" b="0" dirty="0" smtClean="0">
              <a:latin typeface="Algerian" pitchFamily="82" charset="0"/>
            </a:rPr>
            <a:t>mess bill</a:t>
          </a:r>
          <a:endParaRPr lang="en-US" b="0" dirty="0">
            <a:latin typeface="Algerian" pitchFamily="82" charset="0"/>
          </a:endParaRPr>
        </a:p>
      </dgm:t>
    </dgm:pt>
    <dgm:pt modelId="{E9701923-EF7B-4A81-959F-7FEEF57BB6F8}" type="parTrans" cxnId="{0BEBFF67-195B-443C-80F8-ED58560DE7BD}">
      <dgm:prSet/>
      <dgm:spPr/>
      <dgm:t>
        <a:bodyPr/>
        <a:lstStyle/>
        <a:p>
          <a:endParaRPr lang="en-US"/>
        </a:p>
      </dgm:t>
    </dgm:pt>
    <dgm:pt modelId="{0AEB89C9-623B-48AD-B29C-7C523748A3B6}" type="sibTrans" cxnId="{0BEBFF67-195B-443C-80F8-ED58560DE7BD}">
      <dgm:prSet/>
      <dgm:spPr/>
      <dgm:t>
        <a:bodyPr/>
        <a:lstStyle/>
        <a:p>
          <a:endParaRPr lang="en-US"/>
        </a:p>
      </dgm:t>
    </dgm:pt>
    <dgm:pt modelId="{41A85832-8595-4E9D-808B-A590A2CFD91E}">
      <dgm:prSet phldrT="[Text]"/>
      <dgm:spPr/>
      <dgm:t>
        <a:bodyPr/>
        <a:lstStyle/>
        <a:p>
          <a:r>
            <a:rPr lang="en-US" dirty="0" smtClean="0"/>
            <a:t>All the funds transferred to the </a:t>
          </a:r>
          <a:r>
            <a:rPr lang="en-US" dirty="0" smtClean="0">
              <a:latin typeface="Algerian" pitchFamily="82" charset="0"/>
            </a:rPr>
            <a:t>SBBJ bank account </a:t>
          </a:r>
          <a:r>
            <a:rPr lang="en-US" dirty="0" smtClean="0"/>
            <a:t>of UMANG</a:t>
          </a:r>
          <a:endParaRPr lang="en-US" dirty="0"/>
        </a:p>
      </dgm:t>
    </dgm:pt>
    <dgm:pt modelId="{949C96A8-DC31-4C00-BED0-84141F9A1FF2}" type="parTrans" cxnId="{367E7CE3-38C6-4AD1-9972-F833D2F129D8}">
      <dgm:prSet/>
      <dgm:spPr/>
      <dgm:t>
        <a:bodyPr/>
        <a:lstStyle/>
        <a:p>
          <a:endParaRPr lang="en-US"/>
        </a:p>
      </dgm:t>
    </dgm:pt>
    <dgm:pt modelId="{8BA6A3FF-D1E4-4413-B17F-36F8EBF72863}" type="sibTrans" cxnId="{367E7CE3-38C6-4AD1-9972-F833D2F129D8}">
      <dgm:prSet/>
      <dgm:spPr/>
      <dgm:t>
        <a:bodyPr/>
        <a:lstStyle/>
        <a:p>
          <a:endParaRPr lang="en-US"/>
        </a:p>
      </dgm:t>
    </dgm:pt>
    <dgm:pt modelId="{E692C23B-5BE7-482D-B140-9DC4A516B8A0}">
      <dgm:prSet phldrT="[Text]"/>
      <dgm:spPr/>
      <dgm:t>
        <a:bodyPr/>
        <a:lstStyle/>
        <a:p>
          <a:r>
            <a:rPr lang="en-US" dirty="0" err="1" smtClean="0">
              <a:latin typeface="Algerian" pitchFamily="82" charset="0"/>
            </a:rPr>
            <a:t>Cheque</a:t>
          </a:r>
          <a:r>
            <a:rPr lang="en-US" dirty="0" smtClean="0"/>
            <a:t> issued in the school’s name, signed by the Coordinator and the Prof  </a:t>
          </a:r>
          <a:r>
            <a:rPr lang="en-US" dirty="0" err="1" smtClean="0"/>
            <a:t>Incharge</a:t>
          </a:r>
          <a:r>
            <a:rPr lang="en-US" dirty="0" smtClean="0"/>
            <a:t>.</a:t>
          </a:r>
          <a:endParaRPr lang="en-US" dirty="0"/>
        </a:p>
      </dgm:t>
    </dgm:pt>
    <dgm:pt modelId="{0270ED35-78E9-4813-8A60-245FE768A7B0}" type="parTrans" cxnId="{52DCF082-1F57-4ECC-9552-D624C0E1C6AE}">
      <dgm:prSet/>
      <dgm:spPr/>
      <dgm:t>
        <a:bodyPr/>
        <a:lstStyle/>
        <a:p>
          <a:endParaRPr lang="en-US"/>
        </a:p>
      </dgm:t>
    </dgm:pt>
    <dgm:pt modelId="{808D4A1A-A30A-439A-B7B8-9BFFED511565}" type="sibTrans" cxnId="{52DCF082-1F57-4ECC-9552-D624C0E1C6AE}">
      <dgm:prSet/>
      <dgm:spPr/>
      <dgm:t>
        <a:bodyPr/>
        <a:lstStyle/>
        <a:p>
          <a:endParaRPr lang="en-US"/>
        </a:p>
      </dgm:t>
    </dgm:pt>
    <dgm:pt modelId="{686B6405-4B36-4C29-BE1D-5A4DCE3D8B12}" type="pres">
      <dgm:prSet presAssocID="{DB03210C-A14B-4B28-B24E-05E4027F253E}" presName="outerComposite" presStyleCnt="0">
        <dgm:presLayoutVars>
          <dgm:chMax val="5"/>
          <dgm:dir/>
          <dgm:resizeHandles val="exact"/>
        </dgm:presLayoutVars>
      </dgm:prSet>
      <dgm:spPr/>
      <dgm:t>
        <a:bodyPr/>
        <a:lstStyle/>
        <a:p>
          <a:endParaRPr lang="en-IN"/>
        </a:p>
      </dgm:t>
    </dgm:pt>
    <dgm:pt modelId="{C4E207FF-878A-4AE1-8648-8A99A076714B}" type="pres">
      <dgm:prSet presAssocID="{DB03210C-A14B-4B28-B24E-05E4027F253E}" presName="dummyMaxCanvas" presStyleCnt="0">
        <dgm:presLayoutVars/>
      </dgm:prSet>
      <dgm:spPr/>
    </dgm:pt>
    <dgm:pt modelId="{E240EE82-5C7D-42A6-B88C-D9C70BC45F4F}" type="pres">
      <dgm:prSet presAssocID="{DB03210C-A14B-4B28-B24E-05E4027F253E}" presName="ThreeNodes_1" presStyleLbl="node1" presStyleIdx="0" presStyleCnt="3">
        <dgm:presLayoutVars>
          <dgm:bulletEnabled val="1"/>
        </dgm:presLayoutVars>
      </dgm:prSet>
      <dgm:spPr/>
      <dgm:t>
        <a:bodyPr/>
        <a:lstStyle/>
        <a:p>
          <a:endParaRPr lang="en-US"/>
        </a:p>
      </dgm:t>
    </dgm:pt>
    <dgm:pt modelId="{A04969DA-D291-4416-A904-B0C19740678C}" type="pres">
      <dgm:prSet presAssocID="{DB03210C-A14B-4B28-B24E-05E4027F253E}" presName="ThreeNodes_2" presStyleLbl="node1" presStyleIdx="1" presStyleCnt="3">
        <dgm:presLayoutVars>
          <dgm:bulletEnabled val="1"/>
        </dgm:presLayoutVars>
      </dgm:prSet>
      <dgm:spPr/>
      <dgm:t>
        <a:bodyPr/>
        <a:lstStyle/>
        <a:p>
          <a:endParaRPr lang="en-US"/>
        </a:p>
      </dgm:t>
    </dgm:pt>
    <dgm:pt modelId="{757E6A5E-B882-40EB-90CA-840B01307DC4}" type="pres">
      <dgm:prSet presAssocID="{DB03210C-A14B-4B28-B24E-05E4027F253E}" presName="ThreeNodes_3" presStyleLbl="node1" presStyleIdx="2" presStyleCnt="3">
        <dgm:presLayoutVars>
          <dgm:bulletEnabled val="1"/>
        </dgm:presLayoutVars>
      </dgm:prSet>
      <dgm:spPr/>
      <dgm:t>
        <a:bodyPr/>
        <a:lstStyle/>
        <a:p>
          <a:endParaRPr lang="en-US"/>
        </a:p>
      </dgm:t>
    </dgm:pt>
    <dgm:pt modelId="{C331FF4F-BED2-4524-B6A3-67F8C33613D7}" type="pres">
      <dgm:prSet presAssocID="{DB03210C-A14B-4B28-B24E-05E4027F253E}" presName="ThreeConn_1-2" presStyleLbl="fgAccFollowNode1" presStyleIdx="0" presStyleCnt="2">
        <dgm:presLayoutVars>
          <dgm:bulletEnabled val="1"/>
        </dgm:presLayoutVars>
      </dgm:prSet>
      <dgm:spPr/>
      <dgm:t>
        <a:bodyPr/>
        <a:lstStyle/>
        <a:p>
          <a:endParaRPr lang="en-IN"/>
        </a:p>
      </dgm:t>
    </dgm:pt>
    <dgm:pt modelId="{CAFF8AD1-BABF-4965-8924-8017C4788DC1}" type="pres">
      <dgm:prSet presAssocID="{DB03210C-A14B-4B28-B24E-05E4027F253E}" presName="ThreeConn_2-3" presStyleLbl="fgAccFollowNode1" presStyleIdx="1" presStyleCnt="2">
        <dgm:presLayoutVars>
          <dgm:bulletEnabled val="1"/>
        </dgm:presLayoutVars>
      </dgm:prSet>
      <dgm:spPr/>
      <dgm:t>
        <a:bodyPr/>
        <a:lstStyle/>
        <a:p>
          <a:endParaRPr lang="en-IN"/>
        </a:p>
      </dgm:t>
    </dgm:pt>
    <dgm:pt modelId="{6F1880D6-DFB5-4591-9232-3BCC6AD41B1F}" type="pres">
      <dgm:prSet presAssocID="{DB03210C-A14B-4B28-B24E-05E4027F253E}" presName="ThreeNodes_1_text" presStyleLbl="node1" presStyleIdx="2" presStyleCnt="3">
        <dgm:presLayoutVars>
          <dgm:bulletEnabled val="1"/>
        </dgm:presLayoutVars>
      </dgm:prSet>
      <dgm:spPr/>
      <dgm:t>
        <a:bodyPr/>
        <a:lstStyle/>
        <a:p>
          <a:endParaRPr lang="en-US"/>
        </a:p>
      </dgm:t>
    </dgm:pt>
    <dgm:pt modelId="{AB37CF9A-D9A5-441F-B872-C75BF002CDDC}" type="pres">
      <dgm:prSet presAssocID="{DB03210C-A14B-4B28-B24E-05E4027F253E}" presName="ThreeNodes_2_text" presStyleLbl="node1" presStyleIdx="2" presStyleCnt="3">
        <dgm:presLayoutVars>
          <dgm:bulletEnabled val="1"/>
        </dgm:presLayoutVars>
      </dgm:prSet>
      <dgm:spPr/>
      <dgm:t>
        <a:bodyPr/>
        <a:lstStyle/>
        <a:p>
          <a:endParaRPr lang="en-US"/>
        </a:p>
      </dgm:t>
    </dgm:pt>
    <dgm:pt modelId="{4687465F-EBCB-4E11-B3E0-68A114EF658E}" type="pres">
      <dgm:prSet presAssocID="{DB03210C-A14B-4B28-B24E-05E4027F253E}" presName="ThreeNodes_3_text" presStyleLbl="node1" presStyleIdx="2" presStyleCnt="3">
        <dgm:presLayoutVars>
          <dgm:bulletEnabled val="1"/>
        </dgm:presLayoutVars>
      </dgm:prSet>
      <dgm:spPr/>
      <dgm:t>
        <a:bodyPr/>
        <a:lstStyle/>
        <a:p>
          <a:endParaRPr lang="en-US"/>
        </a:p>
      </dgm:t>
    </dgm:pt>
  </dgm:ptLst>
  <dgm:cxnLst>
    <dgm:cxn modelId="{52DCF082-1F57-4ECC-9552-D624C0E1C6AE}" srcId="{DB03210C-A14B-4B28-B24E-05E4027F253E}" destId="{E692C23B-5BE7-482D-B140-9DC4A516B8A0}" srcOrd="2" destOrd="0" parTransId="{0270ED35-78E9-4813-8A60-245FE768A7B0}" sibTransId="{808D4A1A-A30A-439A-B7B8-9BFFED511565}"/>
    <dgm:cxn modelId="{299B0AD5-64B1-46C5-8CA8-1F3DD5F3EEEE}" type="presOf" srcId="{8BA6A3FF-D1E4-4413-B17F-36F8EBF72863}" destId="{CAFF8AD1-BABF-4965-8924-8017C4788DC1}" srcOrd="0" destOrd="0" presId="urn:microsoft.com/office/officeart/2005/8/layout/vProcess5"/>
    <dgm:cxn modelId="{46FB14F0-F2F3-4C65-944F-56B4B3C93E05}" type="presOf" srcId="{2270D798-D76E-4B3B-BA49-5730C8F64D52}" destId="{E240EE82-5C7D-42A6-B88C-D9C70BC45F4F}" srcOrd="0" destOrd="0" presId="urn:microsoft.com/office/officeart/2005/8/layout/vProcess5"/>
    <dgm:cxn modelId="{7924CC10-E074-4CCE-849B-1DC20EF57599}" type="presOf" srcId="{41A85832-8595-4E9D-808B-A590A2CFD91E}" destId="{AB37CF9A-D9A5-441F-B872-C75BF002CDDC}" srcOrd="1" destOrd="0" presId="urn:microsoft.com/office/officeart/2005/8/layout/vProcess5"/>
    <dgm:cxn modelId="{678F7354-7D74-4163-BC60-703DE5318CFF}" type="presOf" srcId="{41A85832-8595-4E9D-808B-A590A2CFD91E}" destId="{A04969DA-D291-4416-A904-B0C19740678C}" srcOrd="0" destOrd="0" presId="urn:microsoft.com/office/officeart/2005/8/layout/vProcess5"/>
    <dgm:cxn modelId="{DF043CD7-A77B-49E7-AC69-59E2C8430B78}" type="presOf" srcId="{E692C23B-5BE7-482D-B140-9DC4A516B8A0}" destId="{757E6A5E-B882-40EB-90CA-840B01307DC4}" srcOrd="0" destOrd="0" presId="urn:microsoft.com/office/officeart/2005/8/layout/vProcess5"/>
    <dgm:cxn modelId="{0BEBFF67-195B-443C-80F8-ED58560DE7BD}" srcId="{DB03210C-A14B-4B28-B24E-05E4027F253E}" destId="{2270D798-D76E-4B3B-BA49-5730C8F64D52}" srcOrd="0" destOrd="0" parTransId="{E9701923-EF7B-4A81-959F-7FEEF57BB6F8}" sibTransId="{0AEB89C9-623B-48AD-B29C-7C523748A3B6}"/>
    <dgm:cxn modelId="{367E7CE3-38C6-4AD1-9972-F833D2F129D8}" srcId="{DB03210C-A14B-4B28-B24E-05E4027F253E}" destId="{41A85832-8595-4E9D-808B-A590A2CFD91E}" srcOrd="1" destOrd="0" parTransId="{949C96A8-DC31-4C00-BED0-84141F9A1FF2}" sibTransId="{8BA6A3FF-D1E4-4413-B17F-36F8EBF72863}"/>
    <dgm:cxn modelId="{26AC07E5-7790-4C3C-A6AD-3216839C6595}" type="presOf" srcId="{0AEB89C9-623B-48AD-B29C-7C523748A3B6}" destId="{C331FF4F-BED2-4524-B6A3-67F8C33613D7}" srcOrd="0" destOrd="0" presId="urn:microsoft.com/office/officeart/2005/8/layout/vProcess5"/>
    <dgm:cxn modelId="{14CD4EA0-A958-4C2C-998A-E8C0222CF8B4}" type="presOf" srcId="{2270D798-D76E-4B3B-BA49-5730C8F64D52}" destId="{6F1880D6-DFB5-4591-9232-3BCC6AD41B1F}" srcOrd="1" destOrd="0" presId="urn:microsoft.com/office/officeart/2005/8/layout/vProcess5"/>
    <dgm:cxn modelId="{CAE787C8-16F9-4854-8D44-C83FD1323DC3}" type="presOf" srcId="{E692C23B-5BE7-482D-B140-9DC4A516B8A0}" destId="{4687465F-EBCB-4E11-B3E0-68A114EF658E}" srcOrd="1" destOrd="0" presId="urn:microsoft.com/office/officeart/2005/8/layout/vProcess5"/>
    <dgm:cxn modelId="{435C1DC2-20BE-45E0-96F6-3A6F5BB99C07}" type="presOf" srcId="{DB03210C-A14B-4B28-B24E-05E4027F253E}" destId="{686B6405-4B36-4C29-BE1D-5A4DCE3D8B12}" srcOrd="0" destOrd="0" presId="urn:microsoft.com/office/officeart/2005/8/layout/vProcess5"/>
    <dgm:cxn modelId="{2CF560BA-56B9-45DD-960E-889E94EB494D}" type="presParOf" srcId="{686B6405-4B36-4C29-BE1D-5A4DCE3D8B12}" destId="{C4E207FF-878A-4AE1-8648-8A99A076714B}" srcOrd="0" destOrd="0" presId="urn:microsoft.com/office/officeart/2005/8/layout/vProcess5"/>
    <dgm:cxn modelId="{221CA18F-D1F1-4FAD-A3DA-E416B3D49F54}" type="presParOf" srcId="{686B6405-4B36-4C29-BE1D-5A4DCE3D8B12}" destId="{E240EE82-5C7D-42A6-B88C-D9C70BC45F4F}" srcOrd="1" destOrd="0" presId="urn:microsoft.com/office/officeart/2005/8/layout/vProcess5"/>
    <dgm:cxn modelId="{EE642C9B-328F-4515-8231-F7950B46A79C}" type="presParOf" srcId="{686B6405-4B36-4C29-BE1D-5A4DCE3D8B12}" destId="{A04969DA-D291-4416-A904-B0C19740678C}" srcOrd="2" destOrd="0" presId="urn:microsoft.com/office/officeart/2005/8/layout/vProcess5"/>
    <dgm:cxn modelId="{68CA8599-6501-4A81-97FF-13ABDE85AC3C}" type="presParOf" srcId="{686B6405-4B36-4C29-BE1D-5A4DCE3D8B12}" destId="{757E6A5E-B882-40EB-90CA-840B01307DC4}" srcOrd="3" destOrd="0" presId="urn:microsoft.com/office/officeart/2005/8/layout/vProcess5"/>
    <dgm:cxn modelId="{55D0C1A8-AC96-4268-8D5F-2A6BC68944B5}" type="presParOf" srcId="{686B6405-4B36-4C29-BE1D-5A4DCE3D8B12}" destId="{C331FF4F-BED2-4524-B6A3-67F8C33613D7}" srcOrd="4" destOrd="0" presId="urn:microsoft.com/office/officeart/2005/8/layout/vProcess5"/>
    <dgm:cxn modelId="{51AD27D0-7735-4624-8DF7-EB122A33C03C}" type="presParOf" srcId="{686B6405-4B36-4C29-BE1D-5A4DCE3D8B12}" destId="{CAFF8AD1-BABF-4965-8924-8017C4788DC1}" srcOrd="5" destOrd="0" presId="urn:microsoft.com/office/officeart/2005/8/layout/vProcess5"/>
    <dgm:cxn modelId="{52A68AD1-CC2D-484F-A716-C6EF935135D0}" type="presParOf" srcId="{686B6405-4B36-4C29-BE1D-5A4DCE3D8B12}" destId="{6F1880D6-DFB5-4591-9232-3BCC6AD41B1F}" srcOrd="6" destOrd="0" presId="urn:microsoft.com/office/officeart/2005/8/layout/vProcess5"/>
    <dgm:cxn modelId="{668AC78C-7EAD-4193-9FEC-B334421001AF}" type="presParOf" srcId="{686B6405-4B36-4C29-BE1D-5A4DCE3D8B12}" destId="{AB37CF9A-D9A5-441F-B872-C75BF002CDDC}" srcOrd="7" destOrd="0" presId="urn:microsoft.com/office/officeart/2005/8/layout/vProcess5"/>
    <dgm:cxn modelId="{6BB8617E-C159-46DE-9DED-8D3CAF3F3A30}" type="presParOf" srcId="{686B6405-4B36-4C29-BE1D-5A4DCE3D8B12}" destId="{4687465F-EBCB-4E11-B3E0-68A114EF658E}" srcOrd="8" destOrd="0" presId="urn:microsoft.com/office/officeart/2005/8/layout/vProcess5"/>
  </dgm:cxnLst>
  <dgm:bg/>
  <dgm:whole/>
  <dgm:extLst>
    <a:ext uri="http://schemas.microsoft.com/office/drawing/2008/diagram">
      <dsp:dataModelExt xmlns:dsp="http://schemas.microsoft.com/office/drawing/2008/diagram" xmlns="" relId="rId8"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3</Pages>
  <Words>723</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RISHIKA</dc:creator>
  <cp:lastModifiedBy>RISHIKA</cp:lastModifiedBy>
  <cp:revision>6</cp:revision>
  <dcterms:created xsi:type="dcterms:W3CDTF">2013-09-06T21:03:00Z</dcterms:created>
  <dcterms:modified xsi:type="dcterms:W3CDTF">2014-02-05T08:30:00Z</dcterms:modified>
</cp:coreProperties>
</file>