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02A43"/>
          <w:sz w:val="56"/>
        </w:rPr>
        <w:t>Meridian</w:t>
      </w:r>
    </w:p>
    <w:p>
      <w:pPr>
        <w:spacing w:after="280"/>
      </w:pPr>
      <w:r>
        <w:rPr>
          <w:rFonts w:ascii="Calibri" w:hAnsi="Calibri"/>
          <w:b w:val="0"/>
          <w:i w:val="0"/>
          <w:color w:val="0F766E"/>
          <w:sz w:val="28"/>
        </w:rPr>
        <w:t>Payment Scam Review Copilot | Project Documentation</w:t>
      </w:r>
    </w:p>
    <w:p>
      <w:pPr>
        <w:spacing w:after="320"/>
      </w:pPr>
      <w:r>
        <w:rPr>
          <w:rFonts w:ascii="Calibri" w:hAnsi="Calibri"/>
          <w:b w:val="0"/>
          <w:i w:val="0"/>
          <w:color w:val="5B7083"/>
          <w:sz w:val="20"/>
        </w:rPr>
        <w:t>Week 3 — Agentic AI Systems | Code-heavy track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6F4F1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6" w:color="B7DDD7"/>
              <w:left w:val="single" w:sz="6" w:color="B7DDD7"/>
              <w:bottom w:val="single" w:sz="6" w:color="B7DDD7"/>
              <w:right w:val="single" w:sz="6" w:color="B7DDD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766E"/>
                <w:sz w:val="21"/>
              </w:rPr>
              <w:t xml:space="preserve">Executive summary. </w:t>
            </w:r>
            <w:r>
              <w:rPr>
                <w:rFonts w:ascii="Calibri" w:hAnsi="Calibri"/>
                <w:b w:val="0"/>
                <w:i w:val="0"/>
                <w:color w:val="102A43"/>
                <w:sz w:val="21"/>
              </w:rPr>
              <w:t>Meridian assembles evidence-backed, policy-cited review briefs for unusual customer-authorised payments. It accelerates analyst preparation while retaining human ownership of every customer-impacting decision.</w:t>
            </w:r>
          </w:p>
        </w:tc>
      </w:tr>
    </w:tbl>
    <w:p>
      <w:pPr>
        <w:pStyle w:val="Heading1"/>
      </w:pPr>
      <w:r>
        <w:t>1. Problem statement</w:t>
      </w:r>
    </w:p>
    <w:p>
      <w:r>
        <w:t>Payment-scam investigations can be slow and inconsistent because analysts must manually connect alert signals, transaction activity, customer context, and policy guidance. Meridian produces an evidence-backed, policy-cited review brief, while keeping every customer-impacting decision with a human analyst.</w:t>
      </w:r>
    </w:p>
    <w:p>
      <w:pPr>
        <w:pStyle w:val="Heading1"/>
      </w:pPr>
      <w:r>
        <w:t>2. Why Meridian and the expected benefits</w:t>
      </w:r>
    </w:p>
    <w:p>
      <w:r>
        <w:t>Meridian standardises the preparation stage of a payment-scam review. It helps teams move faster without substituting automated action for analyst judgement.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Benefit</w:t>
            </w:r>
          </w:p>
        </w:tc>
        <w:tc>
          <w:tcPr>
            <w:tcW w:type="dxa" w:w="6768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Expected impact to validate in a pilot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Analyst productivity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Reduce evidence gathering and brief preparation from approximately 30–45 minutes to 10–15 minutes for suitable alerts.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Capacity and effort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Allow analysts to focus more time on complex cases by reducing repeated searching across data and policy sources.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Control and auditability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Provide a consistent record of evidence, policy rationale, confidence, gates, and human decisions.</w:t>
            </w:r>
          </w:p>
        </w:tc>
      </w:tr>
    </w:tbl>
    <w:p>
      <w:pPr>
        <w:spacing w:after="40"/>
      </w:pPr>
    </w:p>
    <w:p>
      <w:pPr>
        <w:pStyle w:val="Heading1"/>
      </w:pPr>
      <w:r>
        <w:t>3. Evaluation success goals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Improve analyst productivity: produce a usable, evidence-backed review brief in under 15 minutes for at least 90% of suitable alerts.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Maintain safe, consistent decisions: route every uncertain, unsupported, or sensitive case to human review rather than providing an unsupported recommendation.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Build stakeholder confidence: ensure at least 90% of reviewed briefs are judged clear, useful, and supported by the available evidence.</w:t>
      </w:r>
    </w:p>
    <w:p>
      <w:pPr>
        <w:pStyle w:val="ListBullet"/>
        <w:spacing w:after="60"/>
        <w:ind w:left="360" w:hanging="245"/>
      </w:pPr>
      <w:r>
        <w:t>Deliver timely, controlled outcomes: aim to produce either an analyst-ready brief or an explainable safe stop within 15 seconds for suitable alerts; investigate sustained performance above 25 seconds.</w:t>
      </w:r>
    </w:p>
    <w:p>
      <w:pPr>
        <w:pStyle w:val="Heading1"/>
      </w:pPr>
      <w:r>
        <w:t>4. Solution overview</w:t>
      </w:r>
    </w:p>
    <w:p>
      <w:r>
        <w:t>Meridian is a controlled multi-agent system for payment scam review. It is not a one-shot model call or a standalone RAG lookup: it decides the next step, calls bounded tools, retains state across a case, and stops safely when evidence is weak.</w:t>
      </w:r>
    </w:p>
    <w:p>
      <w:pPr>
        <w:pStyle w:val="Heading2"/>
      </w:pPr>
      <w:r>
        <w:t>Description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Evidence Agent gathers alert, transaction, and customer-context evidence through a read-only gateway.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Policy Retrieval Agent finds and reranks relevant approved policy passages using hybrid retrieval.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Synthesis Agent creates a structured review brief only when required evidence and policy support are present.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Orchestrator Agent coordinates the LangGraph workflow, persists state, applies controls, and routes the case.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Human Review makes the final decision and any customer-impacting action.</w:t>
      </w:r>
    </w:p>
    <w:p>
      <w:pPr>
        <w:pStyle w:val="Heading2"/>
      </w:pPr>
      <w:r>
        <w:t>Best for</w:t>
      </w:r>
    </w:p>
    <w:p>
      <w:r>
        <w:t>Financial-crime, fraud operations, risk, controls, architecture, and process-improvement teams that need faster, more consistent investigations without removing human accountability.</w:t>
      </w:r>
    </w:p>
    <w:p>
      <w:pPr>
        <w:pStyle w:val="Heading2"/>
      </w:pPr>
      <w:r>
        <w:t>Deliverable</w:t>
      </w:r>
    </w:p>
    <w:p>
      <w:r>
        <w:t>A working payment-scam review copilot built with LangGraph, LangChain, Pinecone, MCP-style tools, typed agent handoffs, structured outputs, evaluation, and end-to-end observability.</w:t>
      </w:r>
    </w:p>
    <w:p>
      <w:pPr>
        <w:pStyle w:val="Heading1"/>
      </w:pPr>
      <w:r>
        <w:t>5. Architecture</w:t>
      </w:r>
    </w:p>
    <w:p>
      <w:pPr>
        <w:pStyle w:val="Heading2"/>
      </w:pPr>
      <w:r>
        <w:t>Agentic workflow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E6F4F1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Alert</w:t>
            </w:r>
          </w:p>
        </w:tc>
        <w:tc>
          <w:tcPr>
            <w:tcW w:type="dxa" w:w="1399"/>
            <w:shd w:fill="E6F4F1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Orchestrator</w:t>
            </w:r>
          </w:p>
        </w:tc>
        <w:tc>
          <w:tcPr>
            <w:tcW w:type="dxa" w:w="1399"/>
            <w:shd w:fill="E6F4F1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Evidence Agent</w:t>
            </w:r>
          </w:p>
        </w:tc>
        <w:tc>
          <w:tcPr>
            <w:tcW w:type="dxa" w:w="1399"/>
            <w:shd w:fill="E6F4F1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Policy Agent</w:t>
            </w:r>
          </w:p>
        </w:tc>
        <w:tc>
          <w:tcPr>
            <w:tcW w:type="dxa" w:w="1399"/>
            <w:shd w:fill="E6F4F1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Answerability Gate</w:t>
            </w:r>
          </w:p>
        </w:tc>
        <w:tc>
          <w:tcPr>
            <w:tcW w:type="dxa" w:w="1399"/>
            <w:shd w:fill="E6F4F1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Synthesis</w:t>
            </w:r>
          </w:p>
        </w:tc>
        <w:tc>
          <w:tcPr>
            <w:tcW w:type="dxa" w:w="1399"/>
            <w:shd w:fill="E6F4F1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Human Review / Safe stop</w:t>
            </w:r>
          </w:p>
        </w:tc>
      </w:tr>
    </w:tbl>
    <w:p>
      <w:r>
        <w:t>Control flow: the orchestrator validates the alert, requests evidence and policy retrieval, then decides whether enough support exists to prepare a brief. Weak evidence routes to an explicit insufficient-evidence outcome; no action is taken automatically.</w:t>
      </w:r>
    </w:p>
    <w:p>
      <w:pPr>
        <w:pStyle w:val="Heading2"/>
      </w:pPr>
      <w:r>
        <w:t>Operations and learning loop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EEF4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Golden datasets</w:t>
            </w:r>
          </w:p>
        </w:tc>
        <w:tc>
          <w:tcPr>
            <w:tcW w:type="dxa" w:w="1958"/>
            <w:shd w:fill="EEF4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Offline safety checks</w:t>
            </w:r>
          </w:p>
        </w:tc>
        <w:tc>
          <w:tcPr>
            <w:tcW w:type="dxa" w:w="1958"/>
            <w:shd w:fill="EEF4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Live traces &amp; logs</w:t>
            </w:r>
          </w:p>
        </w:tc>
        <w:tc>
          <w:tcPr>
            <w:tcW w:type="dxa" w:w="1958"/>
            <w:shd w:fill="EEF4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Operations dashboard</w:t>
            </w:r>
          </w:p>
        </w:tc>
        <w:tc>
          <w:tcPr>
            <w:tcW w:type="dxa" w:w="1958"/>
            <w:shd w:fill="EEF4FA"/>
            <w:tcMar>
              <w:top w:w="120" w:type="dxa"/>
              <w:start w:w="80" w:type="dxa"/>
              <w:bottom w:w="120" w:type="dxa"/>
              <w:end w:w="80" w:type="dxa"/>
            </w:tcMar>
            <w:tcBorders>
              <w:top w:val="single" w:sz="6" w:color="BFD7D4"/>
              <w:left w:val="single" w:sz="6" w:color="BFD7D4"/>
              <w:bottom w:val="single" w:sz="6" w:color="BFD7D4"/>
              <w:right w:val="single" w:sz="6" w:color="BFD7D4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02A43"/>
                <w:sz w:val="17"/>
              </w:rPr>
              <w:t>Feedback &amp; regression review</w:t>
            </w:r>
          </w:p>
        </w:tc>
      </w:tr>
    </w:tbl>
    <w:p>
      <w:r>
        <w:t>The delivery separates case handling from the operations layer. Evaluation establishes a baseline before release; observability and feedback identify reliability, quality, and cost issues after deployment.</w:t>
      </w:r>
    </w:p>
    <w:p>
      <w:pPr>
        <w:pStyle w:val="Heading1"/>
      </w:pPr>
      <w:r>
        <w:t>6. Controls, state, recovery, and human boundary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Requirement</w:t>
            </w:r>
          </w:p>
        </w:tc>
        <w:tc>
          <w:tcPr>
            <w:tcW w:type="dxa" w:w="6768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How Meridian handles it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Control flow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A LangGraph orchestrator routes the case between specialist agents and chooses continue, human review, or insufficient evidence.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State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Typed case state and SQLite checkpoints preserve the investigation context across steps and support troubleshooting.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Tool failure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Read-only tools use bounded retries, structured errors, cacheable results, and fallbacks; failures are recorded in traces and metrics.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Human boundary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Meridian may retrieve, assess, and draft. It cannot freeze funds, contact a customer, delete records, or make the final decision.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Safety gates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Evidence, policy citation, confidence, prohibited-action, PII, and generation-grounding gates prevent unsupported briefs.</w:t>
            </w:r>
          </w:p>
        </w:tc>
      </w:tr>
    </w:tbl>
    <w:p>
      <w:pPr>
        <w:spacing w:after="40"/>
      </w:pPr>
    </w:p>
    <w:p>
      <w:pPr>
        <w:pStyle w:val="Heading1"/>
      </w:pPr>
      <w:r>
        <w:t>7. Data and knowledge sources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Synthetic payment-scam alerts, customer profiles, transaction histories, and recipient information used for the live demonstration.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Public synthetic AML-style transaction data used to inform realistic behaviour patterns without exposing real customer data.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A locally versioned, synthetic approved payment-scam policy corpus used as the retrieval source of truth.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Golden datasets for end-to-end, retrieval, conversational, and negative/safety evaluation cases.</w:t>
      </w:r>
    </w:p>
    <w:p>
      <w:pPr>
        <w:pStyle w:val="Heading1"/>
      </w:pPr>
      <w:r>
        <w:t>8. Design choices and trade-offs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Decision</w:t>
            </w:r>
          </w:p>
        </w:tc>
        <w:tc>
          <w:tcPr>
            <w:tcW w:type="dxa" w:w="6768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Rationale and trade-off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Bounded multi-agent workflow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Specialist roles improve clarity and testability; deliberately avoids unnecessary distributed-agent complexity.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MCP-style read-only gateway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Separates the agent from source systems with clear tool contracts; the MVP uses an in-process gateway for lower demo latency.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Hybrid RAG + cross-encoder reranking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Balances semantic meaning and exact policy terms, then improves ranking precision; adds latency compared with simple vector search.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Evidence-first answerability gate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Stops the system from drafting when evidence or policy support is weak; favours safe escalation over a superficially helpful answer.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Nebius primary model + fallback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Uses an accessible model provider with resilience; model fallback can create slight variation in latency and output style.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Human-in-the-loop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Protects customers and maintains accountability; does not fully automate case closure or payment interventions.</w:t>
            </w:r>
          </w:p>
        </w:tc>
      </w:tr>
    </w:tbl>
    <w:p>
      <w:pPr>
        <w:spacing w:after="40"/>
      </w:pPr>
    </w:p>
    <w:p>
      <w:pPr>
        <w:pStyle w:val="Heading1"/>
      </w:pPr>
      <w:r>
        <w:t>9. Tools used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Tool</w:t>
            </w:r>
          </w:p>
        </w:tc>
        <w:tc>
          <w:tcPr>
            <w:tcW w:type="dxa" w:w="6768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Role in the solution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LangChain + LangGraph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Agent orchestration, typed state, checkpoints, routing, and tool integration.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Pydantic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Validated structured outputs and agent handoff contracts.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Pinecone + cross-encoder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Policy retrieval, hybrid search support, and reranking.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Nebius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Primary model provider for structured review drafting and optional quality judging.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LangSmith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End-to-end traces, debugging, and evaluation visibility.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FastAPI + Streamlit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Backend API and analyst-facing demonstration interface.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Prometheus + structured logs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Operational metrics, monitoring, and troubleshooting.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pytest, Ruff, mypy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Automated testing, linting, and static quality checks.</w:t>
            </w:r>
          </w:p>
        </w:tc>
      </w:tr>
    </w:tbl>
    <w:p>
      <w:pPr>
        <w:spacing w:after="40"/>
      </w:pPr>
    </w:p>
    <w:p>
      <w:pPr>
        <w:pStyle w:val="Heading1"/>
      </w:pPr>
      <w:r>
        <w:t>10. Evaluation, monitoring, and observability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Offline golden evaluations test expected routes, evidence support, policy citations, and negative/safety scenarios before release.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Named evaluation baselines and category-level comparisons make regressions visible when prompts, models, retrieval, or controls change.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Optional model-judged checks assess groundedness, clarity, and actionability; deterministic safety checks remain the release control.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LangSmith provides trace-level debugging; the operations dashboard surfaces completion, latency, retrieval quality, fallback, gateway, cache, and model-cost signals.</w:t>
      </w:r>
    </w:p>
    <w:p>
      <w:pPr>
        <w:pStyle w:val="ListBullet"/>
        <w:spacing w:after="60"/>
        <w:ind w:left="360" w:hanging="245"/>
      </w:pPr>
      <w:r>
        <w:t>Operational target: For a suitable alert, Meridian aims to reach a controlled outcome in 15 seconds or less. Sustained performance above 25 seconds requires investigation. This is a demo operating target, not a proven production SLA.</w:t>
      </w:r>
    </w:p>
    <w:p>
      <w:pPr>
        <w:pStyle w:val="Heading1"/>
      </w:pPr>
      <w:r>
        <w:t>11. Representative development prompts</w:t>
      </w:r>
    </w:p>
    <w:p>
      <w:r>
        <w:t>The following prompt themes guided development; they are included to document the iterative, AI-assisted build process rather than reproduce the full chat history.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Prompt theme</w:t>
            </w:r>
          </w:p>
        </w:tc>
        <w:tc>
          <w:tcPr>
            <w:tcW w:type="dxa" w:w="6768"/>
            <w:shd w:fill="F2F6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102A43"/>
                <w:sz w:val="19"/>
              </w:rPr>
              <w:t>Purpose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Architecture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Design a production-minded but bounded agentic workflow using RAG, MCP-style tools, typed handoffs, checkpoints, and human review.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Control design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Add explicit evidence, confidence, policy-citation, prohibited-action, PII, and grounding gates with safe routing.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Retrieval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Improve policy retrieval with hybrid search and a cross-encoder reranker; add an answerability gate after reranking.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Evaluation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Build a golden evaluation set, negative/safety release tests, a named baseline, and regression comparison by category.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Observability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Instrument traces, logs, latency, reliability, fallbacks, retrieval quality, cache activity, model cost, and gateway health.</w:t>
            </w:r>
          </w:p>
        </w:tc>
      </w:tr>
      <w:tr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/>
                <w:i w:val="0"/>
                <w:color w:val="0F766E"/>
                <w:sz w:val="19"/>
              </w:rPr>
              <w:t>Analyst experience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02A43"/>
                <w:sz w:val="19"/>
              </w:rPr>
              <w:t>Simplify the Streamlit interface around alert selection, review brief, controls, analyst decision, and an operations tab.</w:t>
            </w:r>
          </w:p>
        </w:tc>
      </w:tr>
    </w:tbl>
    <w:p>
      <w:pPr>
        <w:spacing w:after="40"/>
      </w:pPr>
    </w:p>
    <w:p>
      <w:pPr>
        <w:pStyle w:val="Heading1"/>
      </w:pPr>
      <w:r>
        <w:t>12. Iterations and learnings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Added an explicit post-retrieval answerability gate so weak evidence leads to safe refusal or escalation rather than a draft.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Added reranking, safety and negative test cases, quality judging, and baseline regression tracking to make evaluation more robust.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Learned that control flow, evaluation, observability, and human handoff matter more than adding agents for their own sake.</w:t>
      </w:r>
    </w:p>
    <w:p>
      <w:pPr>
        <w:pStyle w:val="ListBullet"/>
        <w:spacing w:after="60"/>
        <w:ind w:left="360" w:hanging="245"/>
      </w:pPr>
      <w:r>
        <w:rPr>
          <w:rFonts w:ascii="Calibri" w:hAnsi="Calibri"/>
          <w:b w:val="0"/>
          <w:i w:val="0"/>
          <w:color w:val="102A43"/>
          <w:sz w:val="21"/>
        </w:rPr>
        <w:t>Observed that transparent evidence and policy citations make the analyst experience more trustworthy, while caching and routing are important for controlling latency.</w:t>
      </w:r>
    </w:p>
    <w:p>
      <w:pPr>
        <w:pStyle w:val="Heading1"/>
      </w:pPr>
      <w:r>
        <w:t>13. Demo and repository</w:t>
      </w:r>
    </w:p>
    <w:p>
      <w:r>
        <w:t>The five-minute demonstration should show one complete investigation, one insufficient-evidence safe stop, the policy citation trail, a human analyst decision, the LangSmith trace, and the operations dashboard. The repository includes source code, tests, evaluation assets, policies, monitoring assets, architecture/design rationale, and this submission documentation.</w:t>
      </w:r>
    </w:p>
    <w:p>
      <w:r>
        <w:br w:type="page"/>
      </w:r>
    </w:p>
    <w:p>
      <w:pPr>
        <w:pStyle w:val="Heading1"/>
      </w:pPr>
      <w:r>
        <w:t>Appendix: Evaluation evidence</w:t>
      </w:r>
    </w:p>
    <w:p>
      <w:r>
        <w:t>The project includes concrete release checks and live validation evidence—not only generic quality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2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102A43"/>
                <w:sz w:val="19"/>
              </w:rPr>
              <w:t>What was implemented</w:t>
            </w:r>
          </w:p>
        </w:tc>
        <w:tc>
          <w:tcPr>
            <w:tcW w:type="dxa" w:w="4896"/>
            <w:shd w:fill="F2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102A43"/>
                <w:sz w:val="19"/>
              </w:rPr>
              <w:t>How it is measured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20 full-workflow golden cases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Expected route, recommended next step, required evidence, policy support, and analyst-ready output across common and edge-case payment-scam scenarios.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Retrieval and conversation coverage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4 focused RAG cases test policy retrieval quality; 6 multi-turn cases test whether context is retained and answered safely across follow-up questions.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5 formal negative/safety checks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Missing transaction evidence, unavailable policy, prohibited actions, unsafe fraud guidance, and PII leakage must route safely rather than generate a normal brief.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Automated engineering checks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38 automated tests passed, alongside Ruff linting and mypy type checking.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Baseline and regression record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A named pre-release baseline supports category-level comparison when prompts, models, retrieval, tools, or guardrails change.</w:t>
            </w:r>
          </w:p>
        </w:tc>
      </w:tr>
    </w:tbl>
    <w:p>
      <w:pPr>
        <w:pStyle w:val="Heading2"/>
      </w:pPr>
      <w:r>
        <w:t>Metrics captured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2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102A43"/>
                <w:sz w:val="19"/>
              </w:rPr>
              <w:t>What was implemented</w:t>
            </w:r>
          </w:p>
        </w:tc>
        <w:tc>
          <w:tcPr>
            <w:tcW w:type="dxa" w:w="4896"/>
            <w:shd w:fill="F2F6F8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102A43"/>
                <w:sz w:val="19"/>
              </w:rPr>
              <w:t>How it is measured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Route and workflow completion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Confirms that each case reaches the expected human-review or safe-stop outcome.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Answerability, evidence and citations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Confirms sufficient evidence and approved-policy support before drafting is allowed.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Safety-gate and harmful-output rate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Captures unsupported action, missing-evidence, privacy, prohibited-action, and grounding failures.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Groundedness, clarity and actionability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Optional model-judged checks assess whether the brief is supported, understandable, and useful.</w:t>
            </w:r>
          </w:p>
        </w:tc>
      </w:tr>
      <w:tr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/>
                <w:color w:val="0F766E"/>
                <w:sz w:val="19"/>
              </w:rPr>
              <w:t>Latency, fallback, tool success, relevance, cache and cost</w:t>
            </w:r>
          </w:p>
        </w:tc>
        <w:tc>
          <w:tcPr>
            <w:tcW w:type="dxa" w:w="4896"/>
            <w:tcBorders>
              <w:top w:val="single" w:sz="6" w:color="D9E2EC"/>
              <w:left w:val="single" w:sz="6" w:color="D9E2EC"/>
              <w:bottom w:val="single" w:sz="6" w:color="D9E2EC"/>
              <w:right w:val="single" w:sz="6" w:color="D9E2EC"/>
            </w:tcBorders>
          </w:tcPr>
          <w:p>
            <w:r>
              <w:rPr>
                <w:rFonts w:ascii="Calibri" w:hAnsi="Calibri"/>
                <w:b w:val="0"/>
                <w:color w:val="102A43"/>
                <w:sz w:val="19"/>
              </w:rPr>
              <w:t>Operational measures used to diagnose slow, unreliable, expensive, or low-quality case handling.</w:t>
            </w:r>
          </w:p>
        </w:tc>
      </w:tr>
    </w:tbl>
    <w:p>
      <w:pPr>
        <w:pStyle w:val="Heading2"/>
      </w:pPr>
      <w:r>
        <w:t>Live validation evidence</w:t>
      </w:r>
    </w:p>
    <w:p>
      <w:r>
        <w:t>A final live smoke test ran with Nebius, Pinecone, hybrid retrieval, the cross-encoder reranker, and LangSmith enabled. The workflow completed in 13.55 seconds, retrieved 4 policy citations, used the reranker, passed generation and safety gates, routed to human review, and recorded a LangSmith trace. A quality-judge check on the same flow returned 1.0 for groundedness, clarity, and actionability. These are live demonstration results, not a production-scale benchmark.</w:t>
      </w:r>
    </w:p>
    <w:sectPr w:rsidR="00FC693F" w:rsidRPr="0006063C" w:rsidSect="00034616">
      <w:footerReference w:type="default" r:id="rId9"/>
      <w:pgSz w:w="12240" w:h="15840"/>
      <w:pgMar w:top="1224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7083"/>
        <w:sz w:val="17"/>
      </w:rPr>
      <w:t>Meridian — Payment Scam Review Copilot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02A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02A4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