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21ED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Project Documentation: </w:t>
      </w:r>
      <w:proofErr w:type="spellStart"/>
      <w:r>
        <w:rPr>
          <w:rFonts w:ascii="Google Sans" w:eastAsia="Google Sans" w:hAnsi="Google Sans" w:cs="Google Sans"/>
          <w:color w:val="1F1F1F"/>
        </w:rPr>
        <w:t>GoFileRoom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(GFR) Churn Prediction Model</w:t>
      </w:r>
    </w:p>
    <w:p w14:paraId="00000002" w14:textId="7777777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Date:</w:t>
      </w:r>
      <w:r>
        <w:rPr>
          <w:rFonts w:ascii="Google Sans" w:eastAsia="Google Sans" w:hAnsi="Google Sans" w:cs="Google Sans"/>
          <w:color w:val="1F1F1F"/>
        </w:rPr>
        <w:t xml:space="preserve"> February 25, 2026</w:t>
      </w:r>
    </w:p>
    <w:p w14:paraId="00000003" w14:textId="367E9F8D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Prepared By:</w:t>
      </w:r>
      <w:r>
        <w:rPr>
          <w:rFonts w:ascii="Google Sans" w:eastAsia="Google Sans" w:hAnsi="Google Sans" w:cs="Google Sans"/>
          <w:color w:val="1F1F1F"/>
        </w:rPr>
        <w:t xml:space="preserve"> Data Analyst</w:t>
      </w:r>
    </w:p>
    <w:p w14:paraId="00000004" w14:textId="7777777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Project Status:</w:t>
      </w:r>
      <w:r>
        <w:rPr>
          <w:rFonts w:ascii="Google Sans" w:eastAsia="Google Sans" w:hAnsi="Google Sans" w:cs="Google Sans"/>
          <w:color w:val="1F1F1F"/>
        </w:rPr>
        <w:t xml:space="preserve"> Operational Deployment</w:t>
      </w:r>
    </w:p>
    <w:p w14:paraId="00000005" w14:textId="77777777" w:rsidR="007721E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</w:t>
      </w:r>
    </w:p>
    <w:p w14:paraId="00000006" w14:textId="7777777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</w:t>
      </w:r>
      <w:r>
        <w:rPr>
          <w:rFonts w:ascii="Google Sans" w:eastAsia="Google Sans" w:hAnsi="Google Sans" w:cs="Google Sans"/>
          <w:b/>
          <w:bCs/>
          <w:color w:val="1F1F1F"/>
        </w:rPr>
        <w:t>GFR Churn Prediction</w:t>
      </w:r>
      <w:r>
        <w:rPr>
          <w:rFonts w:ascii="Google Sans" w:eastAsia="Google Sans" w:hAnsi="Google Sans" w:cs="Google Sans"/>
          <w:color w:val="1F1F1F"/>
        </w:rPr>
        <w:t xml:space="preserve"> initiative is designed to proactively identify </w:t>
      </w:r>
      <w:proofErr w:type="spellStart"/>
      <w:r>
        <w:rPr>
          <w:rFonts w:ascii="Google Sans" w:eastAsia="Google Sans" w:hAnsi="Google Sans" w:cs="Google Sans"/>
          <w:color w:val="1F1F1F"/>
        </w:rPr>
        <w:t>GoFileRoom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customers at risk of cancellation or downgrading their services. By leveraging historical usage data, licensing patterns, support interactions, workflows, and training engagement, we developed an </w:t>
      </w:r>
      <w:proofErr w:type="spellStart"/>
      <w:r>
        <w:rPr>
          <w:rFonts w:ascii="Google Sans" w:eastAsia="Google Sans" w:hAnsi="Google Sans" w:cs="Google Sans"/>
          <w:color w:val="1F1F1F"/>
        </w:rPr>
        <w:t>XGBoost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machine learning pipeline. The model assigns a "Churn Probability" score to active firms, allowing our Customer Success and Sales teams to prioritize retention efforts effectively.</w:t>
      </w:r>
    </w:p>
    <w:p w14:paraId="00000007" w14:textId="77777777" w:rsidR="007721E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Stakeholders &amp; Points of Contact</w:t>
      </w:r>
    </w:p>
    <w:p w14:paraId="00000008" w14:textId="77777777" w:rsidR="007721E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Executive Stakeholders</w:t>
      </w:r>
    </w:p>
    <w:p w14:paraId="00000009" w14:textId="77777777" w:rsidR="007721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Louie Calvin:</w:t>
      </w:r>
      <w:r>
        <w:rPr>
          <w:rFonts w:ascii="Google Sans" w:eastAsia="Google Sans" w:hAnsi="Google Sans" w:cs="Google Sans"/>
          <w:color w:val="1F1F1F"/>
        </w:rPr>
        <w:t xml:space="preserve"> </w:t>
      </w:r>
      <w:hyperlink r:id="rId5">
        <w:r w:rsidR="007721ED">
          <w:rPr>
            <w:rFonts w:ascii="Google Sans" w:eastAsia="Google Sans" w:hAnsi="Google Sans" w:cs="Google Sans"/>
            <w:color w:val="0B57D0"/>
            <w:u w:val="single"/>
          </w:rPr>
          <w:t>louie.calvin@thomsonreuters.com</w:t>
        </w:r>
      </w:hyperlink>
    </w:p>
    <w:p w14:paraId="0000000A" w14:textId="77777777" w:rsidR="007721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Derek Day:</w:t>
      </w:r>
      <w:r>
        <w:rPr>
          <w:rFonts w:ascii="Google Sans" w:eastAsia="Google Sans" w:hAnsi="Google Sans" w:cs="Google Sans"/>
          <w:color w:val="1F1F1F"/>
        </w:rPr>
        <w:t xml:space="preserve"> </w:t>
      </w:r>
      <w:hyperlink r:id="rId6">
        <w:r w:rsidR="007721ED">
          <w:rPr>
            <w:rFonts w:ascii="Google Sans" w:eastAsia="Google Sans" w:hAnsi="Google Sans" w:cs="Google Sans"/>
            <w:color w:val="0B57D0"/>
            <w:u w:val="single"/>
          </w:rPr>
          <w:t>derek.day@thomsonreuters.com</w:t>
        </w:r>
      </w:hyperlink>
    </w:p>
    <w:p w14:paraId="0000000B" w14:textId="77777777" w:rsidR="007721E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Technical &amp; Domain Points of Contact (POC)</w:t>
      </w:r>
    </w:p>
    <w:p w14:paraId="0000000C" w14:textId="77777777" w:rsidR="007721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Salesforce &amp; Training Data:</w:t>
      </w:r>
      <w:r>
        <w:rPr>
          <w:rFonts w:ascii="Google Sans" w:eastAsia="Google Sans" w:hAnsi="Google Sans" w:cs="Google Sans"/>
          <w:color w:val="1F1F1F"/>
        </w:rPr>
        <w:t xml:space="preserve"> Joel Martin (</w:t>
      </w:r>
      <w:hyperlink r:id="rId7">
        <w:r w:rsidR="007721ED">
          <w:rPr>
            <w:rFonts w:ascii="Google Sans" w:eastAsia="Google Sans" w:hAnsi="Google Sans" w:cs="Google Sans"/>
            <w:color w:val="0B57D0"/>
            <w:u w:val="single"/>
          </w:rPr>
          <w:t>joel.martin@thomsonreuters.com</w:t>
        </w:r>
      </w:hyperlink>
      <w:r>
        <w:rPr>
          <w:rFonts w:ascii="Google Sans" w:eastAsia="Google Sans" w:hAnsi="Google Sans" w:cs="Google Sans"/>
          <w:color w:val="1F1F1F"/>
        </w:rPr>
        <w:t>)</w:t>
      </w:r>
    </w:p>
    <w:p w14:paraId="0000000D" w14:textId="77777777" w:rsidR="007721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Snowflake Tables:</w:t>
      </w:r>
      <w:r>
        <w:rPr>
          <w:rFonts w:ascii="Google Sans" w:eastAsia="Google Sans" w:hAnsi="Google Sans" w:cs="Google Sans"/>
          <w:color w:val="1F1F1F"/>
        </w:rPr>
        <w:t xml:space="preserve"> Rahul Patel (</w:t>
      </w:r>
      <w:hyperlink r:id="rId8">
        <w:r w:rsidR="007721ED">
          <w:rPr>
            <w:rFonts w:ascii="Google Sans" w:eastAsia="Google Sans" w:hAnsi="Google Sans" w:cs="Google Sans"/>
            <w:color w:val="0B57D0"/>
            <w:u w:val="single"/>
          </w:rPr>
          <w:t>Rahul.Patel@thomsonreuters.com</w:t>
        </w:r>
      </w:hyperlink>
      <w:r>
        <w:rPr>
          <w:rFonts w:ascii="Google Sans" w:eastAsia="Google Sans" w:hAnsi="Google Sans" w:cs="Google Sans"/>
          <w:color w:val="1F1F1F"/>
        </w:rPr>
        <w:t>)</w:t>
      </w:r>
    </w:p>
    <w:p w14:paraId="0000000E" w14:textId="77777777" w:rsidR="007721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MDS Access Approvals:</w:t>
      </w:r>
      <w:r>
        <w:rPr>
          <w:rFonts w:ascii="Google Sans" w:eastAsia="Google Sans" w:hAnsi="Google Sans" w:cs="Google Sans"/>
          <w:color w:val="1F1F1F"/>
        </w:rPr>
        <w:t xml:space="preserve"> Vinu Padmanabhan (</w:t>
      </w:r>
      <w:hyperlink r:id="rId9">
        <w:r w:rsidR="007721ED">
          <w:rPr>
            <w:rFonts w:ascii="Google Sans" w:eastAsia="Google Sans" w:hAnsi="Google Sans" w:cs="Google Sans"/>
            <w:color w:val="0B57D0"/>
            <w:u w:val="single"/>
          </w:rPr>
          <w:t>Vinu.Padmanabhan@thomsonreuters.com</w:t>
        </w:r>
      </w:hyperlink>
      <w:r>
        <w:rPr>
          <w:rFonts w:ascii="Google Sans" w:eastAsia="Google Sans" w:hAnsi="Google Sans" w:cs="Google Sans"/>
          <w:color w:val="1F1F1F"/>
        </w:rPr>
        <w:t>)</w:t>
      </w:r>
    </w:p>
    <w:p w14:paraId="0000000F" w14:textId="77777777" w:rsidR="007721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GFR DB (Documents &amp; Workflows Data):</w:t>
      </w:r>
      <w:r>
        <w:rPr>
          <w:rFonts w:ascii="Google Sans" w:eastAsia="Google Sans" w:hAnsi="Google Sans" w:cs="Google Sans"/>
          <w:color w:val="1F1F1F"/>
        </w:rPr>
        <w:t xml:space="preserve"> Scott Liefer (</w:t>
      </w:r>
      <w:hyperlink r:id="rId10">
        <w:r w:rsidR="007721ED">
          <w:rPr>
            <w:rFonts w:ascii="Google Sans" w:eastAsia="Google Sans" w:hAnsi="Google Sans" w:cs="Google Sans"/>
            <w:color w:val="0B57D0"/>
            <w:u w:val="single"/>
          </w:rPr>
          <w:t>scott.liefer@thomsonreuters.com</w:t>
        </w:r>
      </w:hyperlink>
      <w:r>
        <w:rPr>
          <w:rFonts w:ascii="Google Sans" w:eastAsia="Google Sans" w:hAnsi="Google Sans" w:cs="Google Sans"/>
          <w:color w:val="1F1F1F"/>
        </w:rPr>
        <w:t>)</w:t>
      </w:r>
    </w:p>
    <w:p w14:paraId="00000010" w14:textId="77777777" w:rsidR="007721E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Project Resources &amp; Access Links</w:t>
      </w:r>
    </w:p>
    <w:p w14:paraId="00000011" w14:textId="77777777" w:rsidR="007721E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Knowledge Transfer (KT) Recordings</w:t>
      </w:r>
    </w:p>
    <w:p w14:paraId="00000012" w14:textId="7777777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For onboarding and architectural reviews, please refer to the following meeting recordings:</w:t>
      </w:r>
    </w:p>
    <w:p w14:paraId="00000014" w14:textId="5B322214" w:rsidR="007721ED" w:rsidRDefault="00000000" w:rsidP="00E429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🎥 </w:t>
      </w:r>
      <w:hyperlink r:id="rId11" w:history="1">
        <w:r w:rsidR="00E429B5" w:rsidRPr="00E429B5">
          <w:rPr>
            <w:rStyle w:val="Hyperlink"/>
            <w:rFonts w:ascii="Google Sans" w:eastAsia="Google Sans" w:hAnsi="Google Sans" w:cs="Google Sans"/>
          </w:rPr>
          <w:t xml:space="preserve">Product Analytics - </w:t>
        </w:r>
        <w:proofErr w:type="spellStart"/>
        <w:r w:rsidR="00E429B5" w:rsidRPr="00E429B5">
          <w:rPr>
            <w:rStyle w:val="Hyperlink"/>
            <w:rFonts w:ascii="Google Sans" w:eastAsia="Google Sans" w:hAnsi="Google Sans" w:cs="Google Sans"/>
          </w:rPr>
          <w:t>GoFileRoom</w:t>
        </w:r>
        <w:proofErr w:type="spellEnd"/>
        <w:r w:rsidR="00E429B5" w:rsidRPr="00E429B5">
          <w:rPr>
            <w:rStyle w:val="Hyperlink"/>
            <w:rFonts w:ascii="Google Sans" w:eastAsia="Google Sans" w:hAnsi="Google Sans" w:cs="Google Sans"/>
          </w:rPr>
          <w:t xml:space="preserve"> churn prediction - All Documents</w:t>
        </w:r>
      </w:hyperlink>
    </w:p>
    <w:p w14:paraId="00000015" w14:textId="77777777" w:rsidR="007721E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Access Requests &amp; Forms</w:t>
      </w:r>
    </w:p>
    <w:p w14:paraId="00000016" w14:textId="77777777" w:rsidR="007721E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Training Data (Salesforce Access Form):</w:t>
      </w:r>
      <w:r>
        <w:rPr>
          <w:rFonts w:ascii="Google Sans" w:eastAsia="Google Sans" w:hAnsi="Google Sans" w:cs="Google Sans"/>
          <w:color w:val="1F1F1F"/>
        </w:rPr>
        <w:t xml:space="preserve"> </w:t>
      </w:r>
      <w:hyperlink r:id="rId12">
        <w:r w:rsidR="007721ED">
          <w:rPr>
            <w:rFonts w:ascii="Google Sans" w:eastAsia="Google Sans" w:hAnsi="Google Sans" w:cs="Google Sans"/>
            <w:color w:val="0B57D0"/>
            <w:u w:val="single"/>
          </w:rPr>
          <w:t>PowerApps Request Form</w:t>
        </w:r>
      </w:hyperlink>
    </w:p>
    <w:p w14:paraId="00000017" w14:textId="77777777" w:rsidR="007721E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MDS Access Request:</w:t>
      </w:r>
      <w:r>
        <w:rPr>
          <w:rFonts w:ascii="Google Sans" w:eastAsia="Google Sans" w:hAnsi="Google Sans" w:cs="Google Sans"/>
          <w:color w:val="1F1F1F"/>
        </w:rPr>
        <w:t xml:space="preserve"> </w:t>
      </w:r>
      <w:hyperlink r:id="rId13">
        <w:r w:rsidR="007721ED">
          <w:rPr>
            <w:rFonts w:ascii="Google Sans" w:eastAsia="Google Sans" w:hAnsi="Google Sans" w:cs="Google Sans"/>
            <w:color w:val="0B57D0"/>
            <w:u w:val="single"/>
          </w:rPr>
          <w:t>ServiceNow Request Link</w:t>
        </w:r>
      </w:hyperlink>
    </w:p>
    <w:p w14:paraId="00000018" w14:textId="77777777" w:rsidR="007721E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Results Location</w:t>
      </w:r>
    </w:p>
    <w:p w14:paraId="00000019" w14:textId="77777777" w:rsidR="007721E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Final Outputs &amp; Reports:</w:t>
      </w:r>
      <w:r>
        <w:rPr>
          <w:rFonts w:ascii="Google Sans" w:eastAsia="Google Sans" w:hAnsi="Google Sans" w:cs="Google Sans"/>
          <w:color w:val="1F1F1F"/>
        </w:rPr>
        <w:t xml:space="preserve"> </w:t>
      </w:r>
      <w:hyperlink r:id="rId14">
        <w:proofErr w:type="spellStart"/>
        <w:r w:rsidR="007721ED">
          <w:rPr>
            <w:rFonts w:ascii="Google Sans" w:eastAsia="Google Sans" w:hAnsi="Google Sans" w:cs="Google Sans"/>
            <w:color w:val="0B57D0"/>
            <w:u w:val="single"/>
          </w:rPr>
          <w:t>GoFileRoom</w:t>
        </w:r>
        <w:proofErr w:type="spellEnd"/>
        <w:r w:rsidR="007721ED">
          <w:rPr>
            <w:rFonts w:ascii="Google Sans" w:eastAsia="Google Sans" w:hAnsi="Google Sans" w:cs="Google Sans"/>
            <w:color w:val="0B57D0"/>
            <w:u w:val="single"/>
          </w:rPr>
          <w:t xml:space="preserve"> churn prediction</w:t>
        </w:r>
      </w:hyperlink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(Link to internal SharePoint/Drive)</w:t>
      </w:r>
    </w:p>
    <w:p w14:paraId="0000001A" w14:textId="77777777" w:rsidR="007721E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Technical Architecture &amp; Databases</w:t>
      </w:r>
    </w:p>
    <w:p w14:paraId="0000001B" w14:textId="7777777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model ingests data across multiple Thomson Reuters database environments to build a 360-degree view of the customer.</w:t>
      </w:r>
    </w:p>
    <w:p w14:paraId="0000001C" w14:textId="77777777" w:rsidR="007721E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Primary Databases Involved</w:t>
      </w:r>
    </w:p>
    <w:p w14:paraId="0000001D" w14:textId="77777777" w:rsidR="007721E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EMS_DBO</w:t>
      </w:r>
    </w:p>
    <w:p w14:paraId="0000001E" w14:textId="77777777" w:rsidR="007721E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EMS_COPY</w:t>
      </w:r>
    </w:p>
    <w:p w14:paraId="0000001F" w14:textId="77777777" w:rsidR="007721E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SNOWFLAKE</w:t>
      </w:r>
    </w:p>
    <w:p w14:paraId="00000020" w14:textId="77777777" w:rsidR="007721E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FLASH DBO</w:t>
      </w:r>
    </w:p>
    <w:p w14:paraId="00000021" w14:textId="77777777" w:rsidR="007721E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MDS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MyDataSpace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</w:t>
      </w:r>
    </w:p>
    <w:p w14:paraId="00000022" w14:textId="77777777" w:rsidR="007721E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GFR DB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(Source for Documents and Workflows Data)</w:t>
      </w:r>
    </w:p>
    <w:p w14:paraId="00000023" w14:textId="77777777" w:rsidR="007721E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MDS (</w:t>
      </w:r>
      <w:proofErr w:type="spellStart"/>
      <w:r>
        <w:rPr>
          <w:rFonts w:ascii="Google Sans" w:eastAsia="Google Sans" w:hAnsi="Google Sans" w:cs="Google Sans"/>
          <w:color w:val="1F1F1F"/>
        </w:rPr>
        <w:t>MyDataSpace</w:t>
      </w:r>
      <w:proofErr w:type="spellEnd"/>
      <w:r>
        <w:rPr>
          <w:rFonts w:ascii="Google Sans" w:eastAsia="Google Sans" w:hAnsi="Google Sans" w:cs="Google Sans"/>
          <w:color w:val="1F1F1F"/>
        </w:rPr>
        <w:t>) Configuration Profile</w:t>
      </w:r>
    </w:p>
    <w:p w14:paraId="00000024" w14:textId="7777777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When connecting to Snowflake/MDS, use the following warehouse and role configurations:</w:t>
      </w:r>
    </w:p>
    <w:p w14:paraId="00000025" w14:textId="7777777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  'warehouse': 'A202210_APIGEE_ENTITY_DATA_MDS_WH',</w:t>
      </w:r>
      <w:r>
        <w:rPr>
          <w:rFonts w:ascii="Google Sans" w:eastAsia="Google Sans" w:hAnsi="Google Sans" w:cs="Google Sans"/>
          <w:color w:val="1F1F1F"/>
        </w:rPr>
        <w:br/>
        <w:t xml:space="preserve">    'database': 'MYDATASPACE',</w:t>
      </w:r>
      <w:r>
        <w:rPr>
          <w:rFonts w:ascii="Google Sans" w:eastAsia="Google Sans" w:hAnsi="Google Sans" w:cs="Google Sans"/>
          <w:color w:val="1F1F1F"/>
        </w:rPr>
        <w:br/>
        <w:t xml:space="preserve">    'schema': 'A202210_APIGEE_ENTITY_DATA',</w:t>
      </w:r>
      <w:r>
        <w:rPr>
          <w:rFonts w:ascii="Google Sans" w:eastAsia="Google Sans" w:hAnsi="Google Sans" w:cs="Google Sans"/>
          <w:color w:val="1F1F1F"/>
        </w:rPr>
        <w:br/>
        <w:t xml:space="preserve">    'role': 'A202210_APIGEE_ENTITY_DATA_MDS_OWNER'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26" w14:textId="77777777" w:rsidR="007721E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Data Sources &amp; Key Tables</w:t>
      </w:r>
    </w:p>
    <w:p w14:paraId="00000027" w14:textId="7777777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Below is the definitive list of tables utilized in the data extraction and feature engineering pipeline:</w:t>
      </w:r>
    </w:p>
    <w:p w14:paraId="00000028" w14:textId="77777777" w:rsidR="007721E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Snowflake (PROD.SOURCE / FLASH_DBO)</w:t>
      </w:r>
    </w:p>
    <w:p w14:paraId="00000029" w14:textId="77777777" w:rsidR="007721E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PROD.SOURCE.EMS_DBO_FPV_LIMITED_VW </w:t>
      </w:r>
      <w:r>
        <w:rPr>
          <w:rFonts w:ascii="Google Sans" w:eastAsia="Google Sans" w:hAnsi="Google Sans" w:cs="Google Sans"/>
          <w:i/>
          <w:iCs/>
          <w:color w:val="1F1F1F"/>
        </w:rPr>
        <w:t>(Product versions, subscription dates, seat counts)</w:t>
      </w:r>
    </w:p>
    <w:p w14:paraId="0000002A" w14:textId="77777777" w:rsidR="007721E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PROD.SOURCE.EMS_DBO_FIRM_VW </w:t>
      </w:r>
      <w:r>
        <w:rPr>
          <w:rFonts w:ascii="Google Sans" w:eastAsia="Google Sans" w:hAnsi="Google Sans" w:cs="Google Sans"/>
          <w:i/>
          <w:iCs/>
          <w:color w:val="1F1F1F"/>
        </w:rPr>
        <w:t>(Firm demographics and identifiers)</w:t>
      </w:r>
    </w:p>
    <w:p w14:paraId="0000002B" w14:textId="77777777" w:rsidR="007721E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color w:val="1F1F1F"/>
        </w:rPr>
        <w:t>PROD.SOURCE.SALESFORCE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_GSI_PSE_PROJ_C_VW </w:t>
      </w:r>
      <w:r>
        <w:rPr>
          <w:rFonts w:ascii="Google Sans" w:eastAsia="Google Sans" w:hAnsi="Google Sans" w:cs="Google Sans"/>
          <w:i/>
          <w:iCs/>
          <w:color w:val="1F1F1F"/>
        </w:rPr>
        <w:t>(Training implementation records)</w:t>
      </w:r>
    </w:p>
    <w:p w14:paraId="0000002C" w14:textId="77777777" w:rsidR="007721E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color w:val="1F1F1F"/>
        </w:rPr>
        <w:t>PROD.SOURCE.SALESFORCE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_GSI_ACCOUNT_VW </w:t>
      </w:r>
      <w:r>
        <w:rPr>
          <w:rFonts w:ascii="Google Sans" w:eastAsia="Google Sans" w:hAnsi="Google Sans" w:cs="Google Sans"/>
          <w:i/>
          <w:iCs/>
          <w:color w:val="1F1F1F"/>
        </w:rPr>
        <w:t>(Salesforce account level details)</w:t>
      </w:r>
    </w:p>
    <w:p w14:paraId="0000002D" w14:textId="77777777" w:rsidR="007721E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FLASH_DBO_TICKET_VW </w:t>
      </w:r>
      <w:r>
        <w:rPr>
          <w:rFonts w:ascii="Google Sans" w:eastAsia="Google Sans" w:hAnsi="Google Sans" w:cs="Google Sans"/>
          <w:i/>
          <w:iCs/>
          <w:color w:val="1F1F1F"/>
        </w:rPr>
        <w:t>(Support health and escalated tickets)</w:t>
      </w:r>
    </w:p>
    <w:p w14:paraId="0000002E" w14:textId="77777777" w:rsidR="007721E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EMS / SQL Server (</w:t>
      </w:r>
      <w:proofErr w:type="spellStart"/>
      <w:r>
        <w:rPr>
          <w:rFonts w:ascii="Google Sans" w:eastAsia="Google Sans" w:hAnsi="Google Sans" w:cs="Google Sans"/>
          <w:color w:val="1F1F1F"/>
        </w:rPr>
        <w:t>ems_copy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2F" w14:textId="77777777" w:rsidR="007721E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ems_</w:t>
      </w:r>
      <w:proofErr w:type="gramStart"/>
      <w:r>
        <w:rPr>
          <w:rFonts w:ascii="Google Sans" w:eastAsia="Google Sans" w:hAnsi="Google Sans" w:cs="Google Sans"/>
          <w:color w:val="1F1F1F"/>
        </w:rPr>
        <w:t>copy..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firm_Sales_rep_Assignment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(Maps firms to assigned Sales Representatives)</w:t>
      </w:r>
    </w:p>
    <w:p w14:paraId="00000030" w14:textId="77777777" w:rsidR="007721E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ems_</w:t>
      </w:r>
      <w:proofErr w:type="gramStart"/>
      <w:r>
        <w:rPr>
          <w:rFonts w:ascii="Google Sans" w:eastAsia="Google Sans" w:hAnsi="Google Sans" w:cs="Google Sans"/>
          <w:color w:val="1F1F1F"/>
        </w:rPr>
        <w:t>copy..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option_list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(System configuration and options)</w:t>
      </w:r>
    </w:p>
    <w:p w14:paraId="00000031" w14:textId="77777777" w:rsidR="007721E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ems_</w:t>
      </w:r>
      <w:proofErr w:type="gramStart"/>
      <w:r>
        <w:rPr>
          <w:rFonts w:ascii="Google Sans" w:eastAsia="Google Sans" w:hAnsi="Google Sans" w:cs="Google Sans"/>
          <w:color w:val="1F1F1F"/>
        </w:rPr>
        <w:t>copy..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EMS_User_Contact_View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(User and contact information)</w:t>
      </w:r>
    </w:p>
    <w:p w14:paraId="00000032" w14:textId="77777777" w:rsidR="007721E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GFR Database (Workflows &amp; Documents)</w:t>
      </w:r>
    </w:p>
    <w:p w14:paraId="245C4DF5" w14:textId="77777777" w:rsidR="00F6198B" w:rsidRPr="00F6198B" w:rsidRDefault="00000000" w:rsidP="00F619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i/>
          <w:iCs/>
          <w:color w:val="1F1F1F"/>
        </w:rPr>
      </w:pPr>
      <w:r w:rsidRPr="00F6198B">
        <w:rPr>
          <w:rFonts w:ascii="Google Sans" w:eastAsia="Google Sans" w:hAnsi="Google Sans" w:cs="Google Sans"/>
          <w:i/>
          <w:iCs/>
          <w:color w:val="1F1F1F"/>
        </w:rPr>
        <w:t xml:space="preserve">Note: </w:t>
      </w:r>
      <w:r w:rsidR="00F6198B" w:rsidRPr="00F6198B">
        <w:rPr>
          <w:rFonts w:ascii="Google Sans" w:eastAsia="Google Sans" w:hAnsi="Google Sans" w:cs="Google Sans"/>
          <w:i/>
          <w:iCs/>
          <w:color w:val="1F1F1F"/>
        </w:rPr>
        <w:t>The data was extracted using custom SQL queries that track document volume and workflow statuses from the internal GFR database. It will be provided by scott.liefer@thomsonreuters.com. Historical data has already been supplied through the attached files.</w:t>
      </w:r>
    </w:p>
    <w:p w14:paraId="00000034" w14:textId="042782F4" w:rsidR="007721ED" w:rsidRPr="00F6198B" w:rsidRDefault="00000000" w:rsidP="00F619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 w:rsidRPr="00F6198B">
        <w:rPr>
          <w:rFonts w:ascii="Google Sans" w:eastAsia="Google Sans" w:hAnsi="Google Sans" w:cs="Google Sans"/>
          <w:color w:val="1F1F1F"/>
        </w:rPr>
        <w:t>6. Model Methodology &amp; Feature Logic</w:t>
      </w:r>
    </w:p>
    <w:p w14:paraId="00000035" w14:textId="7777777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underlying machine learning model is 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XGBoost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Classifier</w:t>
      </w:r>
      <w:r>
        <w:rPr>
          <w:rFonts w:ascii="Google Sans" w:eastAsia="Google Sans" w:hAnsi="Google Sans" w:cs="Google Sans"/>
          <w:color w:val="1F1F1F"/>
        </w:rPr>
        <w:t>. The data pipeline integrates the tables listed above to engineer the following predictive features:</w:t>
      </w:r>
    </w:p>
    <w:p w14:paraId="00000036" w14:textId="77777777" w:rsidR="007721E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Subscription Tenure:</w:t>
      </w:r>
      <w:r>
        <w:rPr>
          <w:rFonts w:ascii="Google Sans" w:eastAsia="Google Sans" w:hAnsi="Google Sans" w:cs="Google Sans"/>
          <w:color w:val="1F1F1F"/>
        </w:rPr>
        <w:t xml:space="preserve"> Calculated from historical subscription start dates in EMS_DBO_FPV_LIMITED_VW.</w:t>
      </w:r>
    </w:p>
    <w:p w14:paraId="00000037" w14:textId="77777777" w:rsidR="007721E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License &amp; Module Downgrades:</w:t>
      </w:r>
      <w:r>
        <w:rPr>
          <w:rFonts w:ascii="Google Sans" w:eastAsia="Google Sans" w:hAnsi="Google Sans" w:cs="Google Sans"/>
          <w:color w:val="1F1F1F"/>
        </w:rPr>
        <w:t xml:space="preserve"> Flags instances where a firm has reduced seat counts or dropped specific modules (e.g.,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FirmFlow</w:t>
      </w:r>
      <w:proofErr w:type="spellEnd"/>
      <w:r>
        <w:rPr>
          <w:rFonts w:ascii="Google Sans" w:eastAsia="Google Sans" w:hAnsi="Google Sans" w:cs="Google Sans"/>
          <w:color w:val="1F1F1F"/>
        </w:rPr>
        <w:t>) while keeping core GFR.</w:t>
      </w:r>
    </w:p>
    <w:p w14:paraId="00000038" w14:textId="77777777" w:rsidR="007721E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Support Friction:</w:t>
      </w:r>
      <w:r>
        <w:rPr>
          <w:rFonts w:ascii="Google Sans" w:eastAsia="Google Sans" w:hAnsi="Google Sans" w:cs="Google Sans"/>
          <w:color w:val="1F1F1F"/>
        </w:rPr>
        <w:t xml:space="preserve"> Evaluates FLASH_DBO_TICKET_VW to flag firms with a history of escalated technical support tickets.</w:t>
      </w:r>
    </w:p>
    <w:p w14:paraId="00000039" w14:textId="77777777" w:rsidR="007721E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Training Engagement:</w:t>
      </w:r>
      <w:r>
        <w:rPr>
          <w:rFonts w:ascii="Google Sans" w:eastAsia="Google Sans" w:hAnsi="Google Sans" w:cs="Google Sans"/>
          <w:color w:val="1F1F1F"/>
        </w:rPr>
        <w:t xml:space="preserve"> Uses Salesforce data to categorize firms by implementation packages (e.g., Guided, Custom). Lack of training is a heavily weighted risk factor.</w:t>
      </w:r>
    </w:p>
    <w:p w14:paraId="0000003A" w14:textId="77777777" w:rsidR="007721E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Workflow Usage:</w:t>
      </w:r>
      <w:r>
        <w:rPr>
          <w:rFonts w:ascii="Google Sans" w:eastAsia="Google Sans" w:hAnsi="Google Sans" w:cs="Google Sans"/>
          <w:color w:val="1F1F1F"/>
        </w:rPr>
        <w:t xml:space="preserve"> Leverages the GFR database queries to detect drops in document processing or workflow utilization.</w:t>
      </w:r>
    </w:p>
    <w:p w14:paraId="0000003B" w14:textId="77777777" w:rsidR="007721E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Operational Output &amp; Deliverables</w:t>
      </w:r>
    </w:p>
    <w:p w14:paraId="0000003C" w14:textId="2642FD6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python script (</w:t>
      </w:r>
      <w:proofErr w:type="spellStart"/>
      <w:r w:rsidR="008D7A47" w:rsidRPr="008D7A47">
        <w:rPr>
          <w:rFonts w:ascii="Google Sans" w:eastAsia="Google Sans" w:hAnsi="Google Sans" w:cs="Google Sans"/>
          <w:color w:val="1F1F1F"/>
        </w:rPr>
        <w:t>GFR_churn_prediction_Final_Copy</w:t>
      </w:r>
      <w:proofErr w:type="gramStart"/>
      <w:r>
        <w:rPr>
          <w:rFonts w:ascii="Google Sans" w:eastAsia="Google Sans" w:hAnsi="Google Sans" w:cs="Google Sans"/>
          <w:color w:val="1F1F1F"/>
        </w:rPr>
        <w:t>.ipynb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) automates the extraction, transformation, and scoring processes.</w:t>
      </w:r>
    </w:p>
    <w:p w14:paraId="0000003D" w14:textId="77777777" w:rsidR="007721E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Target Output File:</w:t>
      </w:r>
      <w:r>
        <w:rPr>
          <w:rFonts w:ascii="Google Sans" w:eastAsia="Google Sans" w:hAnsi="Google Sans" w:cs="Google Sans"/>
          <w:color w:val="1F1F1F"/>
        </w:rPr>
        <w:t xml:space="preserve"> GFR_churn_probability_xgboost_recall_Jan_2026.xlsx</w:t>
      </w:r>
    </w:p>
    <w:p w14:paraId="0000003E" w14:textId="77777777" w:rsidR="007721E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Contents:</w:t>
      </w:r>
      <w:r>
        <w:rPr>
          <w:rFonts w:ascii="Google Sans" w:eastAsia="Google Sans" w:hAnsi="Google Sans" w:cs="Google Sans"/>
          <w:color w:val="1F1F1F"/>
        </w:rPr>
        <w:t xml:space="preserve"> Includes Firm IDs, Firm Names, Sales Rep assignments, Churn Probability (0.0 to 1.0), Binary Model Prediction (0 or 1), and contextual flags (e.g., training status, escalated tickets).</w:t>
      </w:r>
    </w:p>
    <w:p w14:paraId="0000003F" w14:textId="7777777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Action Plan for Consumers:</w:t>
      </w:r>
    </w:p>
    <w:p w14:paraId="00000040" w14:textId="77777777" w:rsidR="007721E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Sales and Account Management teams should prioritize outreach to firms with a probability score of &gt; 0.70, focusing on addressing support friction, workflow drops, or offering supplementary training.</w:t>
      </w:r>
    </w:p>
    <w:sectPr w:rsidR="007721E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523B255-B9A4-4F16-888B-5AB570875BC4}"/>
  </w:font>
  <w:font w:name="Google Sans">
    <w:charset w:val="00"/>
    <w:family w:val="auto"/>
    <w:pitch w:val="default"/>
    <w:embedRegular r:id="rId2" w:fontKey="{52F0ADB4-E452-4C17-A533-414D43C4201C}"/>
    <w:embedBold r:id="rId3" w:fontKey="{204B11AD-69EE-45AC-90DE-DE6490A43BD3}"/>
    <w:embedItalic r:id="rId4" w:fontKey="{77F738CC-EFAC-4B4F-A983-2554E864DF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39ECEC8-38E6-4775-B399-B2726E41F5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385F628-847C-4984-B3D7-7675274230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493A"/>
    <w:multiLevelType w:val="multilevel"/>
    <w:tmpl w:val="DD1C01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E46730"/>
    <w:multiLevelType w:val="multilevel"/>
    <w:tmpl w:val="F32466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C5D6ACB"/>
    <w:multiLevelType w:val="multilevel"/>
    <w:tmpl w:val="7A3A6E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7F0E22"/>
    <w:multiLevelType w:val="multilevel"/>
    <w:tmpl w:val="C4E4F1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956AEB"/>
    <w:multiLevelType w:val="multilevel"/>
    <w:tmpl w:val="2118DF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7E51C27"/>
    <w:multiLevelType w:val="multilevel"/>
    <w:tmpl w:val="6FDCB2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7427945"/>
    <w:multiLevelType w:val="multilevel"/>
    <w:tmpl w:val="531001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BE54E5F"/>
    <w:multiLevelType w:val="multilevel"/>
    <w:tmpl w:val="A6465B6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47E10BD"/>
    <w:multiLevelType w:val="multilevel"/>
    <w:tmpl w:val="C07CF0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7C21BB1"/>
    <w:multiLevelType w:val="multilevel"/>
    <w:tmpl w:val="36A6E1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BDF5DBC"/>
    <w:multiLevelType w:val="multilevel"/>
    <w:tmpl w:val="700047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03372031">
    <w:abstractNumId w:val="9"/>
  </w:num>
  <w:num w:numId="2" w16cid:durableId="1157260579">
    <w:abstractNumId w:val="2"/>
  </w:num>
  <w:num w:numId="3" w16cid:durableId="2024696838">
    <w:abstractNumId w:val="8"/>
  </w:num>
  <w:num w:numId="4" w16cid:durableId="1201630036">
    <w:abstractNumId w:val="0"/>
  </w:num>
  <w:num w:numId="5" w16cid:durableId="662509931">
    <w:abstractNumId w:val="10"/>
  </w:num>
  <w:num w:numId="6" w16cid:durableId="1874264450">
    <w:abstractNumId w:val="7"/>
  </w:num>
  <w:num w:numId="7" w16cid:durableId="1402606920">
    <w:abstractNumId w:val="6"/>
  </w:num>
  <w:num w:numId="8" w16cid:durableId="1496454354">
    <w:abstractNumId w:val="4"/>
  </w:num>
  <w:num w:numId="9" w16cid:durableId="1560508520">
    <w:abstractNumId w:val="5"/>
  </w:num>
  <w:num w:numId="10" w16cid:durableId="106126703">
    <w:abstractNumId w:val="3"/>
  </w:num>
  <w:num w:numId="11" w16cid:durableId="1693802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1ED"/>
    <w:rsid w:val="006C746D"/>
    <w:rsid w:val="007721ED"/>
    <w:rsid w:val="008D7A47"/>
    <w:rsid w:val="00E429B5"/>
    <w:rsid w:val="00F6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BEA0F"/>
  <w15:docId w15:val="{389DC47B-4432-41CB-90A1-037EE062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429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.Patel@thomsonreuters.com" TargetMode="External"/><Relationship Id="rId13" Type="http://schemas.openxmlformats.org/officeDocument/2006/relationships/hyperlink" Target="https://thomsonreuters.service-now.com/sp?id=sc_cat_item&amp;sys_id=793735b71b519010b65c32a3cc4bcb4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el.martin@thomsonreuters.com" TargetMode="External"/><Relationship Id="rId12" Type="http://schemas.openxmlformats.org/officeDocument/2006/relationships/hyperlink" Target="https://apps.powerapps.com/play/e/default-62ccb864-6a1a-4b5d-8e1c-397dec1a8258/a/cc2fa114-4230-4ee2-8ad8-3551c52b1947?tenantId=62ccb864-6a1a-4b5d-8e1c-397dec1a8258&amp;hint=7ac8be0e-e570-4fd6-ac93-53478d6aeba7&amp;sourcetime=170239371010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derek.day@thomsonreuters.com" TargetMode="External"/><Relationship Id="rId11" Type="http://schemas.openxmlformats.org/officeDocument/2006/relationships/hyperlink" Target="https://trten.sharepoint.com/sites/ProductAnalytics/Shared%20Documents/Forms/AllItems.aspx?csf=1&amp;web=1&amp;e=CaJesu&amp;ovuser=62ccb864%2D6a1a%2D4b5d%2D8e1c%2D397dec1a8258%2CRelangiYugendarSaiRam%40thomsonreuters%2Ecom&amp;CID=6a71faa1%2Dd008%2D1000%2D6285%2D3855cdc75205&amp;cidOR=SPO&amp;FolderCTID=0x0120002209A5513EF8B24098A96F38C29B86FA&amp;id=%2Fsites%2FProductAnalytics%2FShared%20Documents%2FProduct%20Analytics%20Excellence%2FGoFileRoom%20churn%20prediction" TargetMode="External"/><Relationship Id="rId5" Type="http://schemas.openxmlformats.org/officeDocument/2006/relationships/hyperlink" Target="mailto:louie.calvin@thomsonreuters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scott.liefer@thomsonreuter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inu.Padmanabhan@thomsonreuters.com" TargetMode="External"/><Relationship Id="rId14" Type="http://schemas.openxmlformats.org/officeDocument/2006/relationships/hyperlink" Target="https://www.google.com/search?q=%23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757</Words>
  <Characters>5214</Characters>
  <Application>Microsoft Office Word</Application>
  <DocSecurity>0</DocSecurity>
  <Lines>118</Lines>
  <Paragraphs>89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Relangi, Yugendar Sairam (TR Product)</cp:lastModifiedBy>
  <cp:revision>4</cp:revision>
  <dcterms:created xsi:type="dcterms:W3CDTF">2026-02-25T13:06:00Z</dcterms:created>
  <dcterms:modified xsi:type="dcterms:W3CDTF">2026-02-25T13:23:00Z</dcterms:modified>
</cp:coreProperties>
</file>