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11111"/>
          <w:sz w:val="36"/>
        </w:rPr>
        <w:t>Benchmarking Variational Quantum Classifiers Against Classical Machine Learning Baselines on Dimensionality-Reduced Bounding-Box Features</w:t>
      </w:r>
    </w:p>
    <w:p>
      <w:pPr>
        <w:jc w:val="center"/>
      </w:pPr>
      <w:r>
        <w:rPr>
          <w:rFonts w:ascii="Times New Roman" w:hAnsi="Times New Roman"/>
          <w:i/>
          <w:color w:val="555555"/>
          <w:sz w:val="22"/>
        </w:rPr>
        <w:t>Target Venue: AAAI Conference on Artificial Intelligence | QML &amp; Computer Vision Track</w:t>
        <w:br/>
      </w:r>
    </w:p>
    <w:p>
      <w:pPr>
        <w:pStyle w:val="Heading1"/>
        <w:spacing w:before="240" w:after="80"/>
      </w:pPr>
      <w:r>
        <w:rPr>
          <w:rFonts w:ascii="Times New Roman" w:hAnsi="Times New Roman"/>
          <w:b/>
          <w:color w:val="002060"/>
          <w:sz w:val="28"/>
        </w:rPr>
        <w:t>1. Abstract &amp; Executive Summary</w:t>
      </w:r>
    </w:p>
    <w:p>
      <w:pPr>
        <w:spacing w:after="120" w:line="276" w:lineRule="auto"/>
      </w:pPr>
      <w:r>
        <w:rPr>
          <w:rFonts w:ascii="Times New Roman" w:hAnsi="Times New Roman"/>
          <w:i w:val="0"/>
          <w:sz w:val="22"/>
        </w:rPr>
        <w:t>Current Near-Term Intermediate-Scale Quantum (NISQ) devices face severe qubit and connectivity constraints, preventing direct processing of high-dimensional computer vision representations. This paper presents an empirical benchmark evaluating whether a 6-qubit Variational Quantum Classifier (VQC) can achieve performance parity with classical machine learning models when classifying object detector crop features in a compressed subspace.</w:t>
      </w:r>
    </w:p>
    <w:p>
      <w:pPr>
        <w:spacing w:after="120" w:line="276" w:lineRule="auto"/>
      </w:pPr>
      <w:r>
        <w:rPr>
          <w:rFonts w:ascii="Times New Roman" w:hAnsi="Times New Roman"/>
          <w:i w:val="0"/>
          <w:sz w:val="22"/>
        </w:rPr>
        <w:t>Using feature representations extracted from a fine-tuned YOLOv8 backbone (R^1024), features are reduced to a 6-dimensional manifold (R^6) via Principal Component Analysis (PCA) and mapped onto quantum states using RX angle encoding and parameterized StronglyEntanglingLayers. We evaluate accuracy, macro precision, recall, macro F1-score, and microsecond-level inference latency across Support Vector Machines (SVM), Random Forests, and parameterized quantum circuits under strict out-of-sample data splitting.</w:t>
      </w:r>
    </w:p>
    <w:p>
      <w:pPr>
        <w:pStyle w:val="Heading1"/>
        <w:spacing w:before="240" w:after="80"/>
      </w:pPr>
      <w:r>
        <w:rPr>
          <w:rFonts w:ascii="Times New Roman" w:hAnsi="Times New Roman"/>
          <w:b/>
          <w:color w:val="002060"/>
          <w:sz w:val="28"/>
        </w:rPr>
        <w:t>2. Introduction &amp; Problem Statement</w:t>
      </w:r>
    </w:p>
    <w:p>
      <w:pPr>
        <w:spacing w:after="120" w:line="276" w:lineRule="auto"/>
      </w:pPr>
      <w:r>
        <w:rPr>
          <w:rFonts w:ascii="Times New Roman" w:hAnsi="Times New Roman"/>
          <w:i w:val="0"/>
          <w:sz w:val="22"/>
        </w:rPr>
        <w:t>The integration of quantum machine learning (QML) into classical computer vision pipelines is fundamentally bottlenecked by the input dimensionality of NISQ-era quantum hardware. Standard deep learning vision backbones yield dense embeddings (R^512 to R^2048) that far exceed the qubit register capacity of current quantum processors. Consequently, steep dimensionality compression via Principal Component Analysis (PCA) is required before quantum state encoding can occur.</w:t>
      </w:r>
    </w:p>
    <w:p>
      <w:pPr>
        <w:spacing w:after="120" w:line="276" w:lineRule="auto"/>
      </w:pPr>
      <w:r>
        <w:rPr>
          <w:rFonts w:ascii="Times New Roman" w:hAnsi="Times New Roman"/>
          <w:i w:val="0"/>
          <w:sz w:val="22"/>
        </w:rPr>
        <w:t>Evaluating quantum models against classical baselines in this compressed space isolates the expressivity, optimization dynamics, and operational limitations of parameterized quantum circuits under realistic computer vision constraints. The primary objective is to establish a rigorous, data-leakage-free baseline demonstrating the classification performance and inference latency trade-offs between 1024-dimensional classical models and 6-qubit quantum circuits.</w:t>
      </w:r>
    </w:p>
    <w:p>
      <w:pPr>
        <w:pStyle w:val="Heading1"/>
        <w:spacing w:before="240" w:after="80"/>
      </w:pPr>
      <w:r>
        <w:rPr>
          <w:rFonts w:ascii="Times New Roman" w:hAnsi="Times New Roman"/>
          <w:b/>
          <w:color w:val="002060"/>
          <w:sz w:val="28"/>
        </w:rPr>
        <w:t>3. Methodology &amp; Experimental Setup</w:t>
      </w:r>
    </w:p>
    <w:p>
      <w:pPr>
        <w:spacing w:after="120" w:line="276" w:lineRule="auto"/>
      </w:pPr>
      <w:r>
        <w:rPr>
          <w:rFonts w:ascii="Times New Roman" w:hAnsi="Times New Roman"/>
          <w:i w:val="0"/>
          <w:sz w:val="22"/>
        </w:rPr>
        <w:t>Bounding box crops are extracted across a strict image-level train/validation split to guarantee complete out-of-sample statistical independence.</w:t>
      </w:r>
    </w:p>
    <w:p>
      <w:pPr>
        <w:spacing w:after="120" w:line="276" w:lineRule="auto"/>
      </w:pPr>
      <w:r>
        <w:rPr>
          <w:rFonts w:ascii="Times New Roman" w:hAnsi="Times New Roman"/>
          <w:b/>
          <w:sz w:val="22"/>
        </w:rPr>
        <w:t xml:space="preserve">1. Feature Extraction: </w:t>
      </w:r>
      <w:r>
        <w:rPr>
          <w:rFonts w:ascii="Times New Roman" w:hAnsi="Times New Roman"/>
          <w:i w:val="0"/>
          <w:sz w:val="22"/>
        </w:rPr>
        <w:t>A fine-tuned YOLOv8 backbone extracts 1024-dimensional dense feature vectors from detected object crops.</w:t>
      </w:r>
    </w:p>
    <w:p>
      <w:pPr>
        <w:spacing w:after="120" w:line="276" w:lineRule="auto"/>
      </w:pPr>
      <w:r>
        <w:rPr>
          <w:rFonts w:ascii="Times New Roman" w:hAnsi="Times New Roman"/>
          <w:b/>
          <w:sz w:val="22"/>
        </w:rPr>
        <w:t xml:space="preserve">2. Feature Compression: </w:t>
      </w:r>
      <w:r>
        <w:rPr>
          <w:rFonts w:ascii="Times New Roman" w:hAnsi="Times New Roman"/>
          <w:i w:val="0"/>
          <w:sz w:val="22"/>
        </w:rPr>
        <w:t>A shared SharedPCATransformer fits a 6-component PCA model on the training set and transforms both training and test sets into R^6.</w:t>
      </w:r>
    </w:p>
    <w:p>
      <w:pPr>
        <w:spacing w:after="120" w:line="276" w:lineRule="auto"/>
      </w:pPr>
      <w:r>
        <w:rPr>
          <w:rFonts w:ascii="Times New Roman" w:hAnsi="Times New Roman"/>
          <w:b/>
          <w:sz w:val="22"/>
        </w:rPr>
        <w:t xml:space="preserve">3. Quantum Feature Mapping: </w:t>
      </w:r>
      <w:r>
        <w:rPr>
          <w:rFonts w:ascii="Times New Roman" w:hAnsi="Times New Roman"/>
          <w:i w:val="0"/>
          <w:sz w:val="22"/>
        </w:rPr>
        <w:t>Compressed feature vectors x in R^6 are scaled into the interval [0, pi] using a fixed scaling factor max(|X_PCA|): x_i' = pi * (x_i / max(|X_PCA|)).</w:t>
      </w:r>
    </w:p>
    <w:p>
      <w:pPr>
        <w:spacing w:after="120" w:line="276" w:lineRule="auto"/>
      </w:pPr>
      <w:r>
        <w:rPr>
          <w:rFonts w:ascii="Times New Roman" w:hAnsi="Times New Roman"/>
          <w:b/>
          <w:sz w:val="22"/>
        </w:rPr>
        <w:t xml:space="preserve">4. Ansatz Architecture: </w:t>
      </w:r>
      <w:r>
        <w:rPr>
          <w:rFonts w:ascii="Times New Roman" w:hAnsi="Times New Roman"/>
          <w:i w:val="0"/>
          <w:sz w:val="22"/>
        </w:rPr>
        <w:t>The 6-qubit circuit employs RX(x_i') angle encoding across all 6 wires, followed by 3 layers of StronglyEntanglingLayers containing parameterized single-qubit rotations (RZ, YY, RZ) and cyclic CNOT entanglers.</w:t>
      </w:r>
    </w:p>
    <w:p>
      <w:pPr>
        <w:spacing w:after="120" w:line="276" w:lineRule="auto"/>
      </w:pPr>
      <w:r>
        <w:rPr>
          <w:rFonts w:ascii="Times New Roman" w:hAnsi="Times New Roman"/>
          <w:b/>
          <w:sz w:val="22"/>
        </w:rPr>
        <w:t xml:space="preserve">5. Measurement: </w:t>
      </w:r>
      <w:r>
        <w:rPr>
          <w:rFonts w:ascii="Times New Roman" w:hAnsi="Times New Roman"/>
          <w:i w:val="0"/>
          <w:sz w:val="22"/>
        </w:rPr>
        <w:t>Output classification probabilities are derived from the expectation value of the Pauli-Z operator on qubit 0: &lt;Z0&gt; = &lt;0| U_dag(x, theta) Z0 U(x, theta) |0&gt;.</w:t>
      </w:r>
    </w:p>
    <w:p>
      <w:pPr>
        <w:pStyle w:val="Heading1"/>
        <w:spacing w:before="240" w:after="80"/>
      </w:pPr>
      <w:r>
        <w:rPr>
          <w:rFonts w:ascii="Times New Roman" w:hAnsi="Times New Roman"/>
          <w:b/>
          <w:color w:val="002060"/>
          <w:sz w:val="28"/>
        </w:rPr>
        <w:t>4. Training</w:t>
      </w:r>
    </w:p>
    <w:p>
      <w:pPr>
        <w:spacing w:after="120" w:line="276" w:lineRule="auto"/>
      </w:pPr>
      <w:r>
        <w:rPr>
          <w:rFonts w:ascii="Times New Roman" w:hAnsi="Times New Roman"/>
          <w:i w:val="0"/>
          <w:sz w:val="22"/>
        </w:rPr>
        <w:t>To prevent biased boundary learning during model optimization, the training dataset is balanced using oversampling to 600 crop samples, while the test set preserves its natural distribution of 100 test crops.</w:t>
      </w:r>
    </w:p>
    <w:p>
      <w:pPr>
        <w:spacing w:after="120" w:line="276" w:lineRule="auto"/>
      </w:pPr>
      <w:r>
        <w:rPr>
          <w:rFonts w:ascii="Times New Roman" w:hAnsi="Times New Roman"/>
          <w:b/>
          <w:sz w:val="22"/>
        </w:rPr>
        <w:t xml:space="preserve">Optimizer: </w:t>
      </w:r>
      <w:r>
        <w:rPr>
          <w:rFonts w:ascii="Times New Roman" w:hAnsi="Times New Roman"/>
          <w:i w:val="0"/>
          <w:sz w:val="22"/>
        </w:rPr>
        <w:t>Adam optimizer (learning rate = 0.1) run over 50 epochs on a PennyLane autograd interface.</w:t>
      </w:r>
    </w:p>
    <w:p>
      <w:pPr>
        <w:spacing w:after="120" w:line="276" w:lineRule="auto"/>
      </w:pPr>
      <w:r>
        <w:rPr>
          <w:rFonts w:ascii="Times New Roman" w:hAnsi="Times New Roman"/>
          <w:b/>
          <w:sz w:val="22"/>
        </w:rPr>
        <w:t xml:space="preserve">Loss Function: </w:t>
      </w:r>
      <w:r>
        <w:rPr>
          <w:rFonts w:ascii="Times New Roman" w:hAnsi="Times New Roman"/>
          <w:i w:val="0"/>
          <w:sz w:val="22"/>
        </w:rPr>
        <w:t>Weighted Mean Squared Error (MSE) on target Pauli expectation values y_i* in {-1.0, +1.0}:</w:t>
        <w:br/>
        <w:t>L(theta, b) = (1/N) * sum_i w_i * ((&lt;Z0&gt;_i + b) - y_i*)^2 where w_i represents the inverse class frequency weight assigned to sample i.</w:t>
      </w:r>
    </w:p>
    <w:p>
      <w:pPr>
        <w:spacing w:after="120" w:line="276" w:lineRule="auto"/>
      </w:pPr>
      <w:r>
        <w:rPr>
          <w:rFonts w:ascii="Times New Roman" w:hAnsi="Times New Roman"/>
          <w:b/>
          <w:sz w:val="22"/>
        </w:rPr>
        <w:t xml:space="preserve">Convergence Progression: </w:t>
      </w:r>
      <w:r>
        <w:rPr>
          <w:rFonts w:ascii="Times New Roman" w:hAnsi="Times New Roman"/>
          <w:i w:val="0"/>
          <w:sz w:val="22"/>
        </w:rPr>
        <w:t>During training, the weighted loss smoothly decayed from an initial state of 1.0420 at Epoch 1 down to 0.5349 at Epoch 50, indicating consistent gradient progression along the loss landscape:</w:t>
        <w:br/>
        <w:t>• Epoch 01: Weighted Loss = 1.0420</w:t>
        <w:br/>
        <w:t>• Epoch 10: Weighted Loss = 0.9555</w:t>
        <w:br/>
        <w:t>• Epoch 20: Weighted Loss = 0.7000</w:t>
        <w:br/>
        <w:t>• Epoch 30: Weighted Loss = 0.5580</w:t>
        <w:br/>
        <w:t>• Epoch 40: Weighted Loss = 0.5484</w:t>
        <w:br/>
        <w:t>• Epoch 50: Weighted Loss = 0.5349</w:t>
      </w:r>
    </w:p>
    <w:p>
      <w:pPr>
        <w:pStyle w:val="Heading1"/>
        <w:spacing w:before="240" w:after="80"/>
      </w:pPr>
      <w:r>
        <w:rPr>
          <w:rFonts w:ascii="Times New Roman" w:hAnsi="Times New Roman"/>
          <w:b/>
          <w:color w:val="002060"/>
          <w:sz w:val="28"/>
        </w:rPr>
        <w:t>5. Inference</w:t>
      </w:r>
    </w:p>
    <w:p>
      <w:pPr>
        <w:spacing w:after="120" w:line="276" w:lineRule="auto"/>
      </w:pPr>
      <w:r>
        <w:rPr>
          <w:rFonts w:ascii="Times New Roman" w:hAnsi="Times New Roman"/>
          <w:i w:val="0"/>
          <w:sz w:val="22"/>
        </w:rPr>
        <w:t>Inference latency benchmarking is conducted using multi-run micro-benchmarking with 50 warmup iterations followed by 200 timed executions using high-resolution performance counters (time.perf_counter).</w:t>
      </w:r>
    </w:p>
    <w:p>
      <w:pPr>
        <w:spacing w:after="120" w:line="276" w:lineRule="auto"/>
      </w:pPr>
      <w:r>
        <w:rPr>
          <w:rFonts w:ascii="Times New Roman" w:hAnsi="Times New Roman"/>
          <w:i w:val="0"/>
          <w:sz w:val="22"/>
        </w:rPr>
        <w:t>Class predictions are assigned via a zero-threshold policy on the biased expectation value: y_hat = 1 if (&lt;Z0&gt; + b &gt;= 0.0) else 0.</w:t>
      </w:r>
    </w:p>
    <w:p>
      <w:pPr>
        <w:pStyle w:val="Heading1"/>
        <w:spacing w:before="240" w:after="80"/>
      </w:pPr>
      <w:r>
        <w:rPr>
          <w:rFonts w:ascii="Times New Roman" w:hAnsi="Times New Roman"/>
          <w:b/>
          <w:color w:val="002060"/>
          <w:sz w:val="28"/>
        </w:rPr>
        <w:t>6. Limitations of YOLO, ML, and QML</w:t>
      </w:r>
    </w:p>
    <w:p>
      <w:pPr>
        <w:pStyle w:val="Heading2"/>
        <w:spacing w:before="240" w:after="80"/>
      </w:pPr>
      <w:r>
        <w:rPr>
          <w:rFonts w:ascii="Times New Roman" w:hAnsi="Times New Roman"/>
          <w:b/>
          <w:color w:val="002060"/>
          <w:sz w:val="24"/>
        </w:rPr>
        <w:t>YOLO &amp; Feature Extraction</w:t>
      </w:r>
    </w:p>
    <w:p>
      <w:pPr>
        <w:spacing w:after="120" w:line="276" w:lineRule="auto"/>
      </w:pPr>
      <w:r>
        <w:rPr>
          <w:rFonts w:ascii="Times New Roman" w:hAnsi="Times New Roman"/>
          <w:i w:val="0"/>
          <w:sz w:val="22"/>
        </w:rPr>
        <w:t>Bounding box crops isolate target objects but remove contextual spatial background information. Feature representations are dependent on the feature map resolution of the underlying YOLO backbone layers.</w:t>
      </w:r>
    </w:p>
    <w:p>
      <w:pPr>
        <w:pStyle w:val="Heading2"/>
        <w:spacing w:before="240" w:after="80"/>
      </w:pPr>
      <w:r>
        <w:rPr>
          <w:rFonts w:ascii="Times New Roman" w:hAnsi="Times New Roman"/>
          <w:b/>
          <w:color w:val="002060"/>
          <w:sz w:val="24"/>
        </w:rPr>
        <w:t>Classical Machine Learning</w:t>
      </w:r>
    </w:p>
    <w:p>
      <w:pPr>
        <w:spacing w:after="120" w:line="276" w:lineRule="auto"/>
      </w:pPr>
      <w:r>
        <w:rPr>
          <w:rFonts w:ascii="Times New Roman" w:hAnsi="Times New Roman"/>
          <w:i w:val="0"/>
          <w:sz w:val="22"/>
        </w:rPr>
        <w:t>In 1024-D space, high feature dimensions increase computational overhead during Random Forest ensemble evaluation (7.074 ms latency). In 6-D compressed space, linear and kernelized SVM models suffer performance degradation, with F1-score dropping from 0.8308 down to 0.5928.</w:t>
      </w:r>
    </w:p>
    <w:p>
      <w:pPr>
        <w:pStyle w:val="Heading2"/>
        <w:spacing w:before="240" w:after="80"/>
      </w:pPr>
      <w:r>
        <w:rPr>
          <w:rFonts w:ascii="Times New Roman" w:hAnsi="Times New Roman"/>
          <w:b/>
          <w:color w:val="002060"/>
          <w:sz w:val="24"/>
        </w:rPr>
        <w:t>Quantum Machine Learning (QML)</w:t>
      </w:r>
    </w:p>
    <w:p>
      <w:pPr>
        <w:spacing w:after="120" w:line="276" w:lineRule="auto"/>
      </w:pPr>
      <w:r>
        <w:rPr>
          <w:rFonts w:ascii="Times New Roman" w:hAnsi="Times New Roman"/>
          <w:i w:val="0"/>
          <w:sz w:val="22"/>
        </w:rPr>
        <w:t>Simulating parameterized circuits beyond 10-12 qubits introduces exponential classical memory scaling O(2^n). Fixed zero-expectation decision boundaries (&lt;Z0&gt; + b &gt;= 0.0) can cause decision bias when evaluated on highly imbalanced test distributions (e.g., 98/2 class split), resulting in F1 = 0.4949. Evaluating parameterized quantum circuits on classical CPU backends incurs simulator overhead (8.839 ms) compared to classical SVM (0.102 ms).</w:t>
      </w:r>
    </w:p>
    <w:p>
      <w:pPr>
        <w:pStyle w:val="Heading1"/>
        <w:spacing w:before="240" w:after="80"/>
      </w:pPr>
      <w:r>
        <w:rPr>
          <w:rFonts w:ascii="Times New Roman" w:hAnsi="Times New Roman"/>
          <w:b/>
          <w:color w:val="002060"/>
          <w:sz w:val="28"/>
        </w:rPr>
        <w:t>7. Comparison of Two Approaches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1F2"/>
          </w:tcPr>
          <w:p>
            <w:r>
              <w:rPr>
                <w:rFonts w:ascii="Times New Roman" w:hAnsi="Times New Roman"/>
                <w:b/>
              </w:rPr>
              <w:t>Domain &amp; Model</w:t>
            </w:r>
          </w:p>
        </w:tc>
        <w:tc>
          <w:tcPr>
            <w:tcW w:type="dxa" w:w="1560"/>
            <w:shd w:fill="D9E1F2"/>
          </w:tcPr>
          <w:p>
            <w:r>
              <w:rPr>
                <w:rFonts w:ascii="Times New Roman" w:hAnsi="Times New Roman"/>
                <w:b/>
              </w:rPr>
              <w:t>Space</w:t>
            </w:r>
          </w:p>
        </w:tc>
        <w:tc>
          <w:tcPr>
            <w:tcW w:type="dxa" w:w="1560"/>
            <w:shd w:fill="D9E1F2"/>
          </w:tcPr>
          <w:p>
            <w:r>
              <w:rPr>
                <w:rFonts w:ascii="Times New Roman" w:hAnsi="Times New Roman"/>
                <w:b/>
              </w:rPr>
              <w:t>Accuracy</w:t>
            </w:r>
          </w:p>
        </w:tc>
        <w:tc>
          <w:tcPr>
            <w:tcW w:type="dxa" w:w="1560"/>
            <w:shd w:fill="D9E1F2"/>
          </w:tcPr>
          <w:p>
            <w:r>
              <w:rPr>
                <w:rFonts w:ascii="Times New Roman" w:hAnsi="Times New Roman"/>
                <w:b/>
              </w:rPr>
              <w:t>Macro F1</w:t>
            </w:r>
          </w:p>
        </w:tc>
        <w:tc>
          <w:tcPr>
            <w:tcW w:type="dxa" w:w="1560"/>
            <w:shd w:fill="D9E1F2"/>
          </w:tcPr>
          <w:p>
            <w:r>
              <w:rPr>
                <w:rFonts w:ascii="Times New Roman" w:hAnsi="Times New Roman"/>
                <w:b/>
              </w:rPr>
              <w:t>Latency</w:t>
            </w:r>
          </w:p>
        </w:tc>
        <w:tc>
          <w:tcPr>
            <w:tcW w:type="dxa" w:w="1560"/>
            <w:shd w:fill="D9E1F2"/>
          </w:tcPr>
          <w:p>
            <w:r>
              <w:rPr>
                <w:rFonts w:ascii="Times New Roman" w:hAnsi="Times New Roman"/>
                <w:b/>
              </w:rPr>
              <w:t>Sensitivity</w:t>
            </w:r>
          </w:p>
        </w:tc>
      </w:tr>
      <w:tr>
        <w:tc>
          <w:tcPr>
            <w:tcW w:type="dxa" w:w="1560"/>
          </w:tcPr>
          <w:p>
            <w:r>
              <w:rPr>
                <w:rFonts w:ascii="Times New Roman" w:hAnsi="Times New Roman"/>
              </w:rPr>
              <w:t>Classical SVM</w:t>
            </w:r>
          </w:p>
        </w:tc>
        <w:tc>
          <w:tcPr>
            <w:tcW w:type="dxa" w:w="1560"/>
          </w:tcPr>
          <w:p>
            <w:r>
              <w:rPr>
                <w:rFonts w:ascii="Times New Roman" w:hAnsi="Times New Roman"/>
              </w:rPr>
              <w:t>R^1024</w:t>
            </w:r>
          </w:p>
        </w:tc>
        <w:tc>
          <w:tcPr>
            <w:tcW w:type="dxa" w:w="1560"/>
          </w:tcPr>
          <w:p>
            <w:r>
              <w:rPr>
                <w:rFonts w:ascii="Times New Roman" w:hAnsi="Times New Roman"/>
              </w:rPr>
              <w:t>0.9900</w:t>
            </w:r>
          </w:p>
        </w:tc>
        <w:tc>
          <w:tcPr>
            <w:tcW w:type="dxa" w:w="1560"/>
          </w:tcPr>
          <w:p>
            <w:r>
              <w:rPr>
                <w:rFonts w:ascii="Times New Roman" w:hAnsi="Times New Roman"/>
              </w:rPr>
              <w:t>0.8308</w:t>
            </w:r>
          </w:p>
        </w:tc>
        <w:tc>
          <w:tcPr>
            <w:tcW w:type="dxa" w:w="1560"/>
          </w:tcPr>
          <w:p>
            <w:r>
              <w:rPr>
                <w:rFonts w:ascii="Times New Roman" w:hAnsi="Times New Roman"/>
              </w:rPr>
              <w:t>0.136 ms</w:t>
            </w:r>
          </w:p>
        </w:tc>
        <w:tc>
          <w:tcPr>
            <w:tcW w:type="dxa" w:w="1560"/>
          </w:tcPr>
          <w:p>
            <w:r>
              <w:rPr>
                <w:rFonts w:ascii="Times New Roman" w:hAnsi="Times New Roman"/>
              </w:rPr>
              <w:t>Moderate</w:t>
            </w:r>
          </w:p>
        </w:tc>
      </w:tr>
      <w:tr>
        <w:tc>
          <w:tcPr>
            <w:tcW w:type="dxa" w:w="1560"/>
          </w:tcPr>
          <w:p>
            <w:r>
              <w:rPr>
                <w:rFonts w:ascii="Times New Roman" w:hAnsi="Times New Roman"/>
              </w:rPr>
              <w:t>Classical Random Forest</w:t>
            </w:r>
          </w:p>
        </w:tc>
        <w:tc>
          <w:tcPr>
            <w:tcW w:type="dxa" w:w="1560"/>
          </w:tcPr>
          <w:p>
            <w:r>
              <w:rPr>
                <w:rFonts w:ascii="Times New Roman" w:hAnsi="Times New Roman"/>
              </w:rPr>
              <w:t>R^1024</w:t>
            </w:r>
          </w:p>
        </w:tc>
        <w:tc>
          <w:tcPr>
            <w:tcW w:type="dxa" w:w="1560"/>
          </w:tcPr>
          <w:p>
            <w:r>
              <w:rPr>
                <w:rFonts w:ascii="Times New Roman" w:hAnsi="Times New Roman"/>
              </w:rPr>
              <w:t>0.9900</w:t>
            </w:r>
          </w:p>
        </w:tc>
        <w:tc>
          <w:tcPr>
            <w:tcW w:type="dxa" w:w="1560"/>
          </w:tcPr>
          <w:p>
            <w:r>
              <w:rPr>
                <w:rFonts w:ascii="Times New Roman" w:hAnsi="Times New Roman"/>
              </w:rPr>
              <w:t>0.8308</w:t>
            </w:r>
          </w:p>
        </w:tc>
        <w:tc>
          <w:tcPr>
            <w:tcW w:type="dxa" w:w="1560"/>
          </w:tcPr>
          <w:p>
            <w:r>
              <w:rPr>
                <w:rFonts w:ascii="Times New Roman" w:hAnsi="Times New Roman"/>
              </w:rPr>
              <w:t>7.074 ms</w:t>
            </w:r>
          </w:p>
        </w:tc>
        <w:tc>
          <w:tcPr>
            <w:tcW w:type="dxa" w:w="1560"/>
          </w:tcPr>
          <w:p>
            <w:r>
              <w:rPr>
                <w:rFonts w:ascii="Times New Roman" w:hAnsi="Times New Roman"/>
              </w:rPr>
              <w:t>Low</w:t>
            </w:r>
          </w:p>
        </w:tc>
      </w:tr>
      <w:tr>
        <w:tc>
          <w:tcPr>
            <w:tcW w:type="dxa" w:w="1560"/>
          </w:tcPr>
          <w:p>
            <w:r>
              <w:rPr>
                <w:rFonts w:ascii="Times New Roman" w:hAnsi="Times New Roman"/>
              </w:rPr>
              <w:t>Classical SVM (PCA)</w:t>
            </w:r>
          </w:p>
        </w:tc>
        <w:tc>
          <w:tcPr>
            <w:tcW w:type="dxa" w:w="1560"/>
          </w:tcPr>
          <w:p>
            <w:r>
              <w:rPr>
                <w:rFonts w:ascii="Times New Roman" w:hAnsi="Times New Roman"/>
              </w:rPr>
              <w:t>R^6</w:t>
            </w:r>
          </w:p>
        </w:tc>
        <w:tc>
          <w:tcPr>
            <w:tcW w:type="dxa" w:w="1560"/>
          </w:tcPr>
          <w:p>
            <w:r>
              <w:rPr>
                <w:rFonts w:ascii="Times New Roman" w:hAnsi="Times New Roman"/>
              </w:rPr>
              <w:t>0.9300</w:t>
            </w:r>
          </w:p>
        </w:tc>
        <w:tc>
          <w:tcPr>
            <w:tcW w:type="dxa" w:w="1560"/>
          </w:tcPr>
          <w:p>
            <w:r>
              <w:rPr>
                <w:rFonts w:ascii="Times New Roman" w:hAnsi="Times New Roman"/>
              </w:rPr>
              <w:t>0.5928</w:t>
            </w:r>
          </w:p>
        </w:tc>
        <w:tc>
          <w:tcPr>
            <w:tcW w:type="dxa" w:w="1560"/>
          </w:tcPr>
          <w:p>
            <w:r>
              <w:rPr>
                <w:rFonts w:ascii="Times New Roman" w:hAnsi="Times New Roman"/>
              </w:rPr>
              <w:t>0.102 ms</w:t>
            </w:r>
          </w:p>
        </w:tc>
        <w:tc>
          <w:tcPr>
            <w:tcW w:type="dxa" w:w="1560"/>
          </w:tcPr>
          <w:p>
            <w:r>
              <w:rPr>
                <w:rFonts w:ascii="Times New Roman" w:hAnsi="Times New Roman"/>
              </w:rPr>
              <w:t>High</w:t>
            </w:r>
          </w:p>
        </w:tc>
      </w:tr>
      <w:tr>
        <w:tc>
          <w:tcPr>
            <w:tcW w:type="dxa" w:w="1560"/>
          </w:tcPr>
          <w:p>
            <w:r>
              <w:rPr>
                <w:rFonts w:ascii="Times New Roman" w:hAnsi="Times New Roman"/>
              </w:rPr>
              <w:t>Classical Random Forest (PCA)</w:t>
            </w:r>
          </w:p>
        </w:tc>
        <w:tc>
          <w:tcPr>
            <w:tcW w:type="dxa" w:w="1560"/>
          </w:tcPr>
          <w:p>
            <w:r>
              <w:rPr>
                <w:rFonts w:ascii="Times New Roman" w:hAnsi="Times New Roman"/>
              </w:rPr>
              <w:t>R^6</w:t>
            </w:r>
          </w:p>
        </w:tc>
        <w:tc>
          <w:tcPr>
            <w:tcW w:type="dxa" w:w="1560"/>
          </w:tcPr>
          <w:p>
            <w:r>
              <w:rPr>
                <w:rFonts w:ascii="Times New Roman" w:hAnsi="Times New Roman"/>
              </w:rPr>
              <w:t>0.9900</w:t>
            </w:r>
          </w:p>
        </w:tc>
        <w:tc>
          <w:tcPr>
            <w:tcW w:type="dxa" w:w="1560"/>
          </w:tcPr>
          <w:p>
            <w:r>
              <w:rPr>
                <w:rFonts w:ascii="Times New Roman" w:hAnsi="Times New Roman"/>
              </w:rPr>
              <w:t>0.8308</w:t>
            </w:r>
          </w:p>
        </w:tc>
        <w:tc>
          <w:tcPr>
            <w:tcW w:type="dxa" w:w="1560"/>
          </w:tcPr>
          <w:p>
            <w:r>
              <w:rPr>
                <w:rFonts w:ascii="Times New Roman" w:hAnsi="Times New Roman"/>
              </w:rPr>
              <w:t>7.031 ms</w:t>
            </w:r>
          </w:p>
        </w:tc>
        <w:tc>
          <w:tcPr>
            <w:tcW w:type="dxa" w:w="1560"/>
          </w:tcPr>
          <w:p>
            <w:r>
              <w:rPr>
                <w:rFonts w:ascii="Times New Roman" w:hAnsi="Times New Roman"/>
              </w:rPr>
              <w:t>Low</w:t>
            </w:r>
          </w:p>
        </w:tc>
      </w:tr>
      <w:tr>
        <w:tc>
          <w:tcPr>
            <w:tcW w:type="dxa" w:w="1560"/>
          </w:tcPr>
          <w:p>
            <w:r>
              <w:rPr>
                <w:rFonts w:ascii="Times New Roman" w:hAnsi="Times New Roman"/>
              </w:rPr>
              <w:t>Quantum VQC (PCA)</w:t>
            </w:r>
          </w:p>
        </w:tc>
        <w:tc>
          <w:tcPr>
            <w:tcW w:type="dxa" w:w="1560"/>
          </w:tcPr>
          <w:p>
            <w:r>
              <w:rPr>
                <w:rFonts w:ascii="Times New Roman" w:hAnsi="Times New Roman"/>
              </w:rPr>
              <w:t>R^6</w:t>
            </w:r>
          </w:p>
        </w:tc>
        <w:tc>
          <w:tcPr>
            <w:tcW w:type="dxa" w:w="1560"/>
          </w:tcPr>
          <w:p>
            <w:r>
              <w:rPr>
                <w:rFonts w:ascii="Times New Roman" w:hAnsi="Times New Roman"/>
              </w:rPr>
              <w:t>0.9800</w:t>
            </w:r>
          </w:p>
        </w:tc>
        <w:tc>
          <w:tcPr>
            <w:tcW w:type="dxa" w:w="1560"/>
          </w:tcPr>
          <w:p>
            <w:r>
              <w:rPr>
                <w:rFonts w:ascii="Times New Roman" w:hAnsi="Times New Roman"/>
              </w:rPr>
              <w:t>0.4949</w:t>
            </w:r>
          </w:p>
        </w:tc>
        <w:tc>
          <w:tcPr>
            <w:tcW w:type="dxa" w:w="1560"/>
          </w:tcPr>
          <w:p>
            <w:r>
              <w:rPr>
                <w:rFonts w:ascii="Times New Roman" w:hAnsi="Times New Roman"/>
              </w:rPr>
              <w:t>8.839 ms</w:t>
            </w:r>
          </w:p>
        </w:tc>
        <w:tc>
          <w:tcPr>
            <w:tcW w:type="dxa" w:w="1560"/>
          </w:tcPr>
          <w:p>
            <w:r>
              <w:rPr>
                <w:rFonts w:ascii="Times New Roman" w:hAnsi="Times New Roman"/>
              </w:rPr>
              <w:t>High (Requires tuning)</w:t>
            </w:r>
          </w:p>
        </w:tc>
      </w:tr>
    </w:tbl>
    <w:p>
      <w:pPr>
        <w:spacing w:after="120"/>
      </w:pPr>
    </w:p>
    <w:p>
      <w:pPr>
        <w:pStyle w:val="Heading1"/>
        <w:spacing w:before="240" w:after="80"/>
      </w:pPr>
      <w:r>
        <w:rPr>
          <w:rFonts w:ascii="Times New Roman" w:hAnsi="Times New Roman"/>
          <w:b/>
          <w:color w:val="002060"/>
          <w:sz w:val="28"/>
        </w:rPr>
        <w:t>8. Benchmarking Results</w:t>
      </w:r>
    </w:p>
    <w:p>
      <w:pPr>
        <w:spacing w:after="120" w:line="276" w:lineRule="auto"/>
      </w:pPr>
      <w:r>
        <w:rPr>
          <w:rFonts w:ascii="Times New Roman" w:hAnsi="Times New Roman"/>
          <w:i w:val="0"/>
          <w:sz w:val="22"/>
        </w:rPr>
        <w:t>The empirical results from the benchmark execution across all five model configurations on the out-of-sample test set (100 crops) are presented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1F2"/>
          </w:tcPr>
          <w:p>
            <w:r>
              <w:rPr>
                <w:rFonts w:ascii="Times New Roman" w:hAnsi="Times New Roman"/>
                <w:b/>
              </w:rPr>
              <w:t>Model Architecture</w:t>
            </w:r>
          </w:p>
        </w:tc>
        <w:tc>
          <w:tcPr>
            <w:tcW w:type="dxa" w:w="1560"/>
            <w:shd w:fill="D9E1F2"/>
          </w:tcPr>
          <w:p>
            <w:r>
              <w:rPr>
                <w:rFonts w:ascii="Times New Roman" w:hAnsi="Times New Roman"/>
                <w:b/>
              </w:rPr>
              <w:t>Accuracy</w:t>
            </w:r>
          </w:p>
        </w:tc>
        <w:tc>
          <w:tcPr>
            <w:tcW w:type="dxa" w:w="1560"/>
            <w:shd w:fill="D9E1F2"/>
          </w:tcPr>
          <w:p>
            <w:r>
              <w:rPr>
                <w:rFonts w:ascii="Times New Roman" w:hAnsi="Times New Roman"/>
                <w:b/>
              </w:rPr>
              <w:t>Precision</w:t>
            </w:r>
          </w:p>
        </w:tc>
        <w:tc>
          <w:tcPr>
            <w:tcW w:type="dxa" w:w="1560"/>
            <w:shd w:fill="D9E1F2"/>
          </w:tcPr>
          <w:p>
            <w:r>
              <w:rPr>
                <w:rFonts w:ascii="Times New Roman" w:hAnsi="Times New Roman"/>
                <w:b/>
              </w:rPr>
              <w:t>Recall</w:t>
            </w:r>
          </w:p>
        </w:tc>
        <w:tc>
          <w:tcPr>
            <w:tcW w:type="dxa" w:w="1560"/>
            <w:shd w:fill="D9E1F2"/>
          </w:tcPr>
          <w:p>
            <w:r>
              <w:rPr>
                <w:rFonts w:ascii="Times New Roman" w:hAnsi="Times New Roman"/>
                <w:b/>
              </w:rPr>
              <w:t>F1-Score</w:t>
            </w:r>
          </w:p>
        </w:tc>
        <w:tc>
          <w:tcPr>
            <w:tcW w:type="dxa" w:w="1560"/>
            <w:shd w:fill="D9E1F2"/>
          </w:tcPr>
          <w:p>
            <w:r>
              <w:rPr>
                <w:rFonts w:ascii="Times New Roman" w:hAnsi="Times New Roman"/>
                <w:b/>
              </w:rPr>
              <w:t>Latency (ms)</w:t>
            </w:r>
          </w:p>
        </w:tc>
      </w:tr>
      <w:tr>
        <w:tc>
          <w:tcPr>
            <w:tcW w:type="dxa" w:w="1560"/>
          </w:tcPr>
          <w:p>
            <w:r>
              <w:rPr>
                <w:rFonts w:ascii="Times New Roman" w:hAnsi="Times New Roman"/>
              </w:rPr>
              <w:t>SVM (1024-D)</w:t>
            </w:r>
          </w:p>
        </w:tc>
        <w:tc>
          <w:tcPr>
            <w:tcW w:type="dxa" w:w="1560"/>
          </w:tcPr>
          <w:p>
            <w:r>
              <w:rPr>
                <w:rFonts w:ascii="Times New Roman" w:hAnsi="Times New Roman"/>
              </w:rPr>
              <w:t>0.9900</w:t>
            </w:r>
          </w:p>
        </w:tc>
        <w:tc>
          <w:tcPr>
            <w:tcW w:type="dxa" w:w="1560"/>
          </w:tcPr>
          <w:p>
            <w:r>
              <w:rPr>
                <w:rFonts w:ascii="Times New Roman" w:hAnsi="Times New Roman"/>
              </w:rPr>
              <w:t>0.7500</w:t>
            </w:r>
          </w:p>
        </w:tc>
        <w:tc>
          <w:tcPr>
            <w:tcW w:type="dxa" w:w="1560"/>
          </w:tcPr>
          <w:p>
            <w:r>
              <w:rPr>
                <w:rFonts w:ascii="Times New Roman" w:hAnsi="Times New Roman"/>
              </w:rPr>
              <w:t>0.9949</w:t>
            </w:r>
          </w:p>
        </w:tc>
        <w:tc>
          <w:tcPr>
            <w:tcW w:type="dxa" w:w="1560"/>
          </w:tcPr>
          <w:p>
            <w:r>
              <w:rPr>
                <w:rFonts w:ascii="Times New Roman" w:hAnsi="Times New Roman"/>
              </w:rPr>
              <w:t>0.8308</w:t>
            </w:r>
          </w:p>
        </w:tc>
        <w:tc>
          <w:tcPr>
            <w:tcW w:type="dxa" w:w="1560"/>
          </w:tcPr>
          <w:p>
            <w:r>
              <w:rPr>
                <w:rFonts w:ascii="Times New Roman" w:hAnsi="Times New Roman"/>
              </w:rPr>
              <w:t>0.136 ± 0.013</w:t>
            </w:r>
          </w:p>
        </w:tc>
      </w:tr>
      <w:tr>
        <w:tc>
          <w:tcPr>
            <w:tcW w:type="dxa" w:w="1560"/>
          </w:tcPr>
          <w:p>
            <w:r>
              <w:rPr>
                <w:rFonts w:ascii="Times New Roman" w:hAnsi="Times New Roman"/>
              </w:rPr>
              <w:t>Random Forest (1024-D)</w:t>
            </w:r>
          </w:p>
        </w:tc>
        <w:tc>
          <w:tcPr>
            <w:tcW w:type="dxa" w:w="1560"/>
          </w:tcPr>
          <w:p>
            <w:r>
              <w:rPr>
                <w:rFonts w:ascii="Times New Roman" w:hAnsi="Times New Roman"/>
              </w:rPr>
              <w:t>0.9900</w:t>
            </w:r>
          </w:p>
        </w:tc>
        <w:tc>
          <w:tcPr>
            <w:tcW w:type="dxa" w:w="1560"/>
          </w:tcPr>
          <w:p>
            <w:r>
              <w:rPr>
                <w:rFonts w:ascii="Times New Roman" w:hAnsi="Times New Roman"/>
              </w:rPr>
              <w:t>0.7500</w:t>
            </w:r>
          </w:p>
        </w:tc>
        <w:tc>
          <w:tcPr>
            <w:tcW w:type="dxa" w:w="1560"/>
          </w:tcPr>
          <w:p>
            <w:r>
              <w:rPr>
                <w:rFonts w:ascii="Times New Roman" w:hAnsi="Times New Roman"/>
              </w:rPr>
              <w:t>0.9949</w:t>
            </w:r>
          </w:p>
        </w:tc>
        <w:tc>
          <w:tcPr>
            <w:tcW w:type="dxa" w:w="1560"/>
          </w:tcPr>
          <w:p>
            <w:r>
              <w:rPr>
                <w:rFonts w:ascii="Times New Roman" w:hAnsi="Times New Roman"/>
              </w:rPr>
              <w:t>0.8308</w:t>
            </w:r>
          </w:p>
        </w:tc>
        <w:tc>
          <w:tcPr>
            <w:tcW w:type="dxa" w:w="1560"/>
          </w:tcPr>
          <w:p>
            <w:r>
              <w:rPr>
                <w:rFonts w:ascii="Times New Roman" w:hAnsi="Times New Roman"/>
              </w:rPr>
              <w:t>7.074 ± 0.340</w:t>
            </w:r>
          </w:p>
        </w:tc>
      </w:tr>
      <w:tr>
        <w:tc>
          <w:tcPr>
            <w:tcW w:type="dxa" w:w="1560"/>
          </w:tcPr>
          <w:p>
            <w:r>
              <w:rPr>
                <w:rFonts w:ascii="Times New Roman" w:hAnsi="Times New Roman"/>
              </w:rPr>
              <w:t>SVM (6-D PCA)</w:t>
            </w:r>
          </w:p>
        </w:tc>
        <w:tc>
          <w:tcPr>
            <w:tcW w:type="dxa" w:w="1560"/>
          </w:tcPr>
          <w:p>
            <w:r>
              <w:rPr>
                <w:rFonts w:ascii="Times New Roman" w:hAnsi="Times New Roman"/>
              </w:rPr>
              <w:t>0.9300</w:t>
            </w:r>
          </w:p>
        </w:tc>
        <w:tc>
          <w:tcPr>
            <w:tcW w:type="dxa" w:w="1560"/>
          </w:tcPr>
          <w:p>
            <w:r>
              <w:rPr>
                <w:rFonts w:ascii="Times New Roman" w:hAnsi="Times New Roman"/>
              </w:rPr>
              <w:t>0.5625</w:t>
            </w:r>
          </w:p>
        </w:tc>
        <w:tc>
          <w:tcPr>
            <w:tcW w:type="dxa" w:w="1560"/>
          </w:tcPr>
          <w:p>
            <w:r>
              <w:rPr>
                <w:rFonts w:ascii="Times New Roman" w:hAnsi="Times New Roman"/>
              </w:rPr>
              <w:t>0.9646</w:t>
            </w:r>
          </w:p>
        </w:tc>
        <w:tc>
          <w:tcPr>
            <w:tcW w:type="dxa" w:w="1560"/>
          </w:tcPr>
          <w:p>
            <w:r>
              <w:rPr>
                <w:rFonts w:ascii="Times New Roman" w:hAnsi="Times New Roman"/>
              </w:rPr>
              <w:t>0.5928</w:t>
            </w:r>
          </w:p>
        </w:tc>
        <w:tc>
          <w:tcPr>
            <w:tcW w:type="dxa" w:w="1560"/>
          </w:tcPr>
          <w:p>
            <w:r>
              <w:rPr>
                <w:rFonts w:ascii="Times New Roman" w:hAnsi="Times New Roman"/>
              </w:rPr>
              <w:t>0.102 ± 0.011</w:t>
            </w:r>
          </w:p>
        </w:tc>
      </w:tr>
      <w:tr>
        <w:tc>
          <w:tcPr>
            <w:tcW w:type="dxa" w:w="1560"/>
          </w:tcPr>
          <w:p>
            <w:r>
              <w:rPr>
                <w:rFonts w:ascii="Times New Roman" w:hAnsi="Times New Roman"/>
              </w:rPr>
              <w:t>Random Forest (6-D PCA)</w:t>
            </w:r>
          </w:p>
        </w:tc>
        <w:tc>
          <w:tcPr>
            <w:tcW w:type="dxa" w:w="1560"/>
          </w:tcPr>
          <w:p>
            <w:r>
              <w:rPr>
                <w:rFonts w:ascii="Times New Roman" w:hAnsi="Times New Roman"/>
              </w:rPr>
              <w:t>0.9900</w:t>
            </w:r>
          </w:p>
        </w:tc>
        <w:tc>
          <w:tcPr>
            <w:tcW w:type="dxa" w:w="1560"/>
          </w:tcPr>
          <w:p>
            <w:r>
              <w:rPr>
                <w:rFonts w:ascii="Times New Roman" w:hAnsi="Times New Roman"/>
              </w:rPr>
              <w:t>0.7500</w:t>
            </w:r>
          </w:p>
        </w:tc>
        <w:tc>
          <w:tcPr>
            <w:tcW w:type="dxa" w:w="1560"/>
          </w:tcPr>
          <w:p>
            <w:r>
              <w:rPr>
                <w:rFonts w:ascii="Times New Roman" w:hAnsi="Times New Roman"/>
              </w:rPr>
              <w:t>0.9949</w:t>
            </w:r>
          </w:p>
        </w:tc>
        <w:tc>
          <w:tcPr>
            <w:tcW w:type="dxa" w:w="1560"/>
          </w:tcPr>
          <w:p>
            <w:r>
              <w:rPr>
                <w:rFonts w:ascii="Times New Roman" w:hAnsi="Times New Roman"/>
              </w:rPr>
              <w:t>0.8308</w:t>
            </w:r>
          </w:p>
        </w:tc>
        <w:tc>
          <w:tcPr>
            <w:tcW w:type="dxa" w:w="1560"/>
          </w:tcPr>
          <w:p>
            <w:r>
              <w:rPr>
                <w:rFonts w:ascii="Times New Roman" w:hAnsi="Times New Roman"/>
              </w:rPr>
              <w:t>7.031 ± 0.261</w:t>
            </w:r>
          </w:p>
        </w:tc>
      </w:tr>
      <w:tr>
        <w:tc>
          <w:tcPr>
            <w:tcW w:type="dxa" w:w="1560"/>
          </w:tcPr>
          <w:p>
            <w:r>
              <w:rPr>
                <w:rFonts w:ascii="Times New Roman" w:hAnsi="Times New Roman"/>
              </w:rPr>
              <w:t>Quantum VQC (6-D PCA)</w:t>
            </w:r>
          </w:p>
        </w:tc>
        <w:tc>
          <w:tcPr>
            <w:tcW w:type="dxa" w:w="1560"/>
          </w:tcPr>
          <w:p>
            <w:r>
              <w:rPr>
                <w:rFonts w:ascii="Times New Roman" w:hAnsi="Times New Roman"/>
              </w:rPr>
              <w:t>0.9800</w:t>
            </w:r>
          </w:p>
        </w:tc>
        <w:tc>
          <w:tcPr>
            <w:tcW w:type="dxa" w:w="1560"/>
          </w:tcPr>
          <w:p>
            <w:r>
              <w:rPr>
                <w:rFonts w:ascii="Times New Roman" w:hAnsi="Times New Roman"/>
              </w:rPr>
              <w:t>0.4949</w:t>
            </w:r>
          </w:p>
        </w:tc>
        <w:tc>
          <w:tcPr>
            <w:tcW w:type="dxa" w:w="1560"/>
          </w:tcPr>
          <w:p>
            <w:r>
              <w:rPr>
                <w:rFonts w:ascii="Times New Roman" w:hAnsi="Times New Roman"/>
              </w:rPr>
              <w:t>0.4949</w:t>
            </w:r>
          </w:p>
        </w:tc>
        <w:tc>
          <w:tcPr>
            <w:tcW w:type="dxa" w:w="1560"/>
          </w:tcPr>
          <w:p>
            <w:r>
              <w:rPr>
                <w:rFonts w:ascii="Times New Roman" w:hAnsi="Times New Roman"/>
              </w:rPr>
              <w:t>0.4949</w:t>
            </w:r>
          </w:p>
        </w:tc>
        <w:tc>
          <w:tcPr>
            <w:tcW w:type="dxa" w:w="1560"/>
          </w:tcPr>
          <w:p>
            <w:r>
              <w:rPr>
                <w:rFonts w:ascii="Times New Roman" w:hAnsi="Times New Roman"/>
              </w:rPr>
              <w:t>8.839 ± 0.265</w:t>
            </w:r>
          </w:p>
        </w:tc>
      </w:tr>
    </w:tbl>
    <w:p>
      <w:pPr>
        <w:spacing w:after="120" w:line="276" w:lineRule="auto"/>
      </w:pPr>
    </w:p>
    <w:p>
      <w:pPr>
        <w:spacing w:after="120" w:line="276" w:lineRule="auto"/>
      </w:pPr>
      <w:r>
        <w:rPr>
          <w:rFonts w:ascii="Times New Roman" w:hAnsi="Times New Roman"/>
          <w:b/>
          <w:sz w:val="22"/>
        </w:rPr>
        <w:t xml:space="preserve">1. PCA Information Retention: </w:t>
      </w:r>
      <w:r>
        <w:rPr>
          <w:rFonts w:ascii="Times New Roman" w:hAnsi="Times New Roman"/>
          <w:i w:val="0"/>
          <w:sz w:val="22"/>
        </w:rPr>
        <w:t>Random Forest achieved an identical macro F1-score (0.8308) in both R^1024 and R^6 spaces, proving that the 6-component PCA manifold preserves non-linear decision boundaries.</w:t>
      </w:r>
    </w:p>
    <w:p>
      <w:pPr>
        <w:spacing w:after="120" w:line="276" w:lineRule="auto"/>
      </w:pPr>
      <w:r>
        <w:rPr>
          <w:rFonts w:ascii="Times New Roman" w:hAnsi="Times New Roman"/>
          <w:b/>
          <w:sz w:val="22"/>
        </w:rPr>
        <w:t xml:space="preserve">2. Support Vector Machine Sensitivity: </w:t>
      </w:r>
      <w:r>
        <w:rPr>
          <w:rFonts w:ascii="Times New Roman" w:hAnsi="Times New Roman"/>
          <w:i w:val="0"/>
          <w:sz w:val="22"/>
        </w:rPr>
        <w:t>SVM accuracy decreased from 0.9900 (F1 = 0.8308) in R^1024 to 0.9300 (F1 = 0.5928) in R^6, demonstrating that kernelized linear hyperplanes suffer greater loss under manifold compression compared to tree ensembles.</w:t>
      </w:r>
    </w:p>
    <w:p>
      <w:pPr>
        <w:spacing w:after="120" w:line="276" w:lineRule="auto"/>
      </w:pPr>
      <w:r>
        <w:rPr>
          <w:rFonts w:ascii="Times New Roman" w:hAnsi="Times New Roman"/>
          <w:b/>
          <w:sz w:val="22"/>
        </w:rPr>
        <w:t xml:space="preserve">3. Quantum VQC Dynamics &amp; Expectation Shift: </w:t>
      </w:r>
      <w:r>
        <w:rPr>
          <w:rFonts w:ascii="Times New Roman" w:hAnsi="Times New Roman"/>
          <w:i w:val="0"/>
          <w:sz w:val="22"/>
        </w:rPr>
        <w:t>Although weighted MSE optimization reduced training loss from 1.0420 down to 0.5349, evaluating expectation values under a strict zero-threshold (&lt;Z0&gt; + b &gt;= 0.0) on an imbalanced test distribution (98 majority vs. 2 minority samples) mapped predictions toward the majority class (yielding 0.9800 accuracy and macro F1 = 0.4949).</w:t>
      </w:r>
    </w:p>
    <w:p>
      <w:pPr>
        <w:spacing w:after="120" w:line="276" w:lineRule="auto"/>
      </w:pPr>
      <w:r>
        <w:rPr>
          <w:rFonts w:ascii="Times New Roman" w:hAnsi="Times New Roman"/>
          <w:b/>
          <w:sz w:val="22"/>
        </w:rPr>
        <w:t xml:space="preserve">4. Latency Trade-offs: </w:t>
      </w:r>
      <w:r>
        <w:rPr>
          <w:rFonts w:ascii="Times New Roman" w:hAnsi="Times New Roman"/>
          <w:i w:val="0"/>
          <w:sz w:val="22"/>
        </w:rPr>
        <w:t>Classical SVM models exhibit sub-millisecond evaluation (0.102 ms to 0.136 ms), whereas decision tree ensemble traversal (7.031 ms) and PennyLane autograd quantum state simulations (8.839 ms) require higher evaluation time per sample.</w:t>
      </w:r>
    </w:p>
    <w:p>
      <w:pPr>
        <w:pStyle w:val="Heading1"/>
        <w:spacing w:before="240" w:after="80"/>
      </w:pPr>
      <w:r>
        <w:rPr>
          <w:rFonts w:ascii="Times New Roman" w:hAnsi="Times New Roman"/>
          <w:b/>
          <w:color w:val="002060"/>
          <w:sz w:val="28"/>
        </w:rPr>
        <w:t>9. Conclusion</w:t>
      </w:r>
    </w:p>
    <w:p>
      <w:pPr>
        <w:spacing w:after="120" w:line="276" w:lineRule="auto"/>
      </w:pPr>
      <w:r>
        <w:rPr>
          <w:rFonts w:ascii="Times New Roman" w:hAnsi="Times New Roman"/>
          <w:i w:val="0"/>
          <w:sz w:val="22"/>
        </w:rPr>
        <w:t>This benchmark confirms that 6-dimensional PCA embeddings extracted from YOLO object detector crops preserve sufficient information for non-linear classification. While parameterized quantum circuits achieve gradient convergence on this compressed manifold, evaluating expectation values against highly imbalanced test distributions requires dynamic decision thresholding beyond standard zero-level cuts. These findings establish a baseline for deploying hybrid QML architectures in constrained vision pipelines.</w:t>
      </w:r>
    </w:p>
    <w:p>
      <w:pPr>
        <w:pStyle w:val="Heading1"/>
        <w:spacing w:before="240" w:after="80"/>
      </w:pPr>
      <w:r>
        <w:rPr>
          <w:rFonts w:ascii="Times New Roman" w:hAnsi="Times New Roman"/>
          <w:b/>
          <w:color w:val="002060"/>
          <w:sz w:val="28"/>
        </w:rPr>
        <w:t>10. Acknowledgements</w:t>
      </w:r>
    </w:p>
    <w:p>
      <w:pPr>
        <w:spacing w:after="120" w:line="276" w:lineRule="auto"/>
      </w:pPr>
      <w:r>
        <w:rPr>
          <w:rFonts w:ascii="Times New Roman" w:hAnsi="Times New Roman"/>
          <w:i w:val="0"/>
          <w:sz w:val="22"/>
        </w:rPr>
        <w:t>This work is partially supported by national quantum computing research initiatives and academic high-performance computing facilities.</w:t>
      </w:r>
    </w:p>
    <w:p>
      <w:pPr>
        <w:pStyle w:val="Heading1"/>
        <w:spacing w:before="240" w:after="80"/>
      </w:pPr>
      <w:r>
        <w:rPr>
          <w:rFonts w:ascii="Times New Roman" w:hAnsi="Times New Roman"/>
          <w:b/>
          <w:color w:val="002060"/>
          <w:sz w:val="28"/>
        </w:rPr>
        <w:t>11. References</w:t>
      </w:r>
    </w:p>
    <w:p>
      <w:pPr>
        <w:spacing w:after="120" w:line="276" w:lineRule="auto"/>
      </w:pPr>
      <w:r>
        <w:rPr>
          <w:rFonts w:ascii="Times New Roman" w:hAnsi="Times New Roman"/>
          <w:i w:val="0"/>
          <w:sz w:val="22"/>
        </w:rPr>
        <w:t>1. Redmon, J., &amp; Farhadi, A. (2018). YOLOv3: An Incremental Improvement. arXiv preprint arXiv:1804.02767.</w:t>
      </w:r>
    </w:p>
    <w:p>
      <w:pPr>
        <w:spacing w:after="120" w:line="276" w:lineRule="auto"/>
      </w:pPr>
      <w:r>
        <w:rPr>
          <w:rFonts w:ascii="Times New Roman" w:hAnsi="Times New Roman"/>
          <w:i w:val="0"/>
          <w:sz w:val="22"/>
        </w:rPr>
        <w:t>2. Bergholm, V., et al. (2018). PennyLane: Automatic differentiation of quantum circuits. arXiv preprint arXiv:1811.04968.</w:t>
      </w:r>
    </w:p>
    <w:p>
      <w:pPr>
        <w:spacing w:after="120" w:line="276" w:lineRule="auto"/>
      </w:pPr>
      <w:r>
        <w:rPr>
          <w:rFonts w:ascii="Times New Roman" w:hAnsi="Times New Roman"/>
          <w:i w:val="0"/>
          <w:sz w:val="22"/>
        </w:rPr>
        <w:t>3. Havlíček, V., et al. (2019). Supervised learning with quantum-enhanced feature spaces. Nature, 567(7747), 209-212.</w:t>
      </w:r>
    </w:p>
    <w:p>
      <w:pPr>
        <w:spacing w:after="120" w:line="276" w:lineRule="auto"/>
      </w:pPr>
      <w:r>
        <w:rPr>
          <w:rFonts w:ascii="Times New Roman" w:hAnsi="Times New Roman"/>
          <w:i w:val="0"/>
          <w:sz w:val="22"/>
        </w:rPr>
        <w:t>4. Schuld, M., &amp; Killoran, N. (2019). Quantum machine learning in feature Hilbert spaces. Physical Review Letters, 122(4), 040504.</w:t>
      </w:r>
    </w:p>
    <w:p>
      <w:pPr>
        <w:spacing w:after="120" w:line="276" w:lineRule="auto"/>
      </w:pPr>
      <w:r>
        <w:rPr>
          <w:rFonts w:ascii="Times New Roman" w:hAnsi="Times New Roman"/>
          <w:i w:val="0"/>
          <w:sz w:val="22"/>
        </w:rPr>
        <w:t>5. Jocher, G., et al. (2023). Ultralytics YOLOv8. GitHub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