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r>
        <w:t xml:space="preserve"/>
      </w:r>
    </w:p>
    <w:p>
      <w:pPr>
        <w:spacing w:after="240"/>
        <w:jc w:val="center"/>
      </w:pPr>
      <w:r>
        <w:rPr>
          <w:rFonts w:ascii="Inter" w:cs="Inter" w:eastAsia="Inter" w:hAnsi="Inter"/>
          <w:b/>
          <w:bCs/>
          <w:color w:val="14B8A6"/>
          <w:sz w:val="18"/>
          <w:szCs w:val="18"/>
        </w:rPr>
        <w:t xml:space="preserve">HAIP  •  IVR ARCHITECTURE</w:t>
      </w:r>
    </w:p>
    <w:p>
      <w:pPr>
        <w:spacing w:after="120"/>
        <w:jc w:val="center"/>
      </w:pPr>
      <w:r>
        <w:rPr>
          <w:rFonts w:ascii="Inter" w:cs="Inter" w:eastAsia="Inter" w:hAnsi="Inter"/>
          <w:b/>
          <w:bCs/>
          <w:color w:val="0B1F3A"/>
          <w:sz w:val="50"/>
          <w:szCs w:val="50"/>
        </w:rPr>
        <w:t xml:space="preserve">IVR Sequence &amp; Cost Model</w:t>
      </w:r>
    </w:p>
    <w:p>
      <w:pPr>
        <w:spacing w:after="80"/>
        <w:jc w:val="center"/>
      </w:pPr>
      <w:r>
        <w:rPr>
          <w:rFonts w:ascii="Inter" w:cs="Inter" w:eastAsia="Inter" w:hAnsi="Inter"/>
          <w:i/>
          <w:iCs/>
          <w:color w:val="64748B"/>
          <w:sz w:val="22"/>
          <w:szCs w:val="22"/>
        </w:rPr>
        <w:t xml:space="preserve">Vendor pick · end-to-end call flow · per-call unit economics · SMB pricing tiers</w:t>
      </w:r>
    </w:p>
    <w:p>
      <w:pPr>
        <w:spacing w:after="360"/>
      </w:pPr>
      <w:r>
        <w:t xml:space="preserve"/>
      </w:r>
    </w:p>
    <w:p>
      <w:pPr>
        <w:pBdr>
          <w:bottom w:val="single" w:color="14B8A6" w:sz="24" w:space="1"/>
        </w:pBdr>
        <w:jc w:val="center"/>
      </w:pPr>
      <w:r>
        <w:t xml:space="preserve"/>
      </w:r>
    </w:p>
    <w:p>
      <w:pPr>
        <w:spacing w:after="360"/>
      </w:pPr>
      <w:r>
        <w:t xml:space="preserve"/>
      </w:r>
    </w:p>
    <w:p>
      <w:pPr>
        <w:spacing w:after="80"/>
        <w:jc w:val="center"/>
      </w:pPr>
      <w:r>
        <w:rPr>
          <w:rFonts w:ascii="Inter" w:cs="Inter" w:eastAsia="Inter" w:hAnsi="Inter"/>
          <w:b/>
          <w:bCs/>
          <w:color w:val="0d9488"/>
          <w:sz w:val="22"/>
          <w:szCs w:val="22"/>
        </w:rPr>
        <w:t xml:space="preserve">Built for SMB hospitality operators · 20–100 calls/day</w:t>
      </w:r>
    </w:p>
    <w:p>
      <w:pPr>
        <w:spacing w:after="180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Inter" w:cs="Inter" w:eastAsia="Inter" w:hAnsi="Inter"/>
                <w:b/>
                <w:bCs/>
                <w:color w:val="0B1F3A"/>
                <w:sz w:val="20"/>
                <w:szCs w:val="20"/>
              </w:rPr>
              <w:t xml:space="preserve">Document</w:t>
            </w:r>
          </w:p>
        </w:tc>
        <w:tc>
          <w:tcPr>
            <w:tcW w:type="dxa" w:w="48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Inter" w:cs="Inter" w:eastAsia="Inter" w:hAnsi="Inter"/>
                <w:b w:val="false"/>
                <w:bCs w:val="false"/>
                <w:color w:val="1F2937"/>
                <w:sz w:val="20"/>
                <w:szCs w:val="20"/>
              </w:rPr>
              <w:t xml:space="preserve">IVR Sequence &amp; Cost Model v1</w:t>
            </w:r>
          </w:p>
        </w:tc>
      </w:tr>
      <w:tr>
        <w:tc>
          <w:tcPr>
            <w:tcW w:type="dxa" w:w="24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Inter" w:cs="Inter" w:eastAsia="Inter" w:hAnsi="Inter"/>
                <w:b/>
                <w:bCs/>
                <w:color w:val="0B1F3A"/>
                <w:sz w:val="20"/>
                <w:szCs w:val="20"/>
              </w:rPr>
              <w:t xml:space="preserve">Owner</w:t>
            </w:r>
          </w:p>
        </w:tc>
        <w:tc>
          <w:tcPr>
            <w:tcW w:type="dxa" w:w="4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Inter" w:cs="Inter" w:eastAsia="Inter" w:hAnsi="Inter"/>
                <w:b w:val="false"/>
                <w:bCs w:val="false"/>
                <w:color w:val="1F2937"/>
                <w:sz w:val="20"/>
                <w:szCs w:val="20"/>
              </w:rPr>
              <w:t xml:space="preserve">Sharath D.</w:t>
            </w:r>
          </w:p>
        </w:tc>
      </w:tr>
      <w:tr>
        <w:tc>
          <w:tcPr>
            <w:tcW w:type="dxa" w:w="24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Inter" w:cs="Inter" w:eastAsia="Inter" w:hAnsi="Inter"/>
                <w:b/>
                <w:bCs/>
                <w:color w:val="0B1F3A"/>
                <w:sz w:val="20"/>
                <w:szCs w:val="20"/>
              </w:rPr>
              <w:t xml:space="preserve">Status</w:t>
            </w:r>
          </w:p>
        </w:tc>
        <w:tc>
          <w:tcPr>
            <w:tcW w:type="dxa" w:w="48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Inter" w:cs="Inter" w:eastAsia="Inter" w:hAnsi="Inter"/>
                <w:b w:val="false"/>
                <w:bCs w:val="false"/>
                <w:color w:val="1F2937"/>
                <w:sz w:val="20"/>
                <w:szCs w:val="20"/>
              </w:rPr>
              <w:t xml:space="preserve">Draft — for review</w:t>
            </w:r>
          </w:p>
        </w:tc>
      </w:tr>
      <w:tr>
        <w:tc>
          <w:tcPr>
            <w:tcW w:type="dxa" w:w="24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Inter" w:cs="Inter" w:eastAsia="Inter" w:hAnsi="Inter"/>
                <w:b/>
                <w:bCs/>
                <w:color w:val="0B1F3A"/>
                <w:sz w:val="20"/>
                <w:szCs w:val="20"/>
              </w:rPr>
              <w:t xml:space="preserve">Date</w:t>
            </w:r>
          </w:p>
        </w:tc>
        <w:tc>
          <w:tcPr>
            <w:tcW w:type="dxa" w:w="4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Inter" w:cs="Inter" w:eastAsia="Inter" w:hAnsi="Inter"/>
                <w:b w:val="false"/>
                <w:bCs w:val="false"/>
                <w:color w:val="1F2937"/>
                <w:sz w:val="20"/>
                <w:szCs w:val="20"/>
              </w:rPr>
              <w:t xml:space="preserve">May 2026</w:t>
            </w:r>
          </w:p>
        </w:tc>
      </w:tr>
      <w:tr>
        <w:tc>
          <w:tcPr>
            <w:tcW w:type="dxa" w:w="24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Inter" w:cs="Inter" w:eastAsia="Inter" w:hAnsi="Inter"/>
                <w:b/>
                <w:bCs/>
                <w:color w:val="0B1F3A"/>
                <w:sz w:val="20"/>
                <w:szCs w:val="20"/>
              </w:rPr>
              <w:t xml:space="preserve">Companion to</w:t>
            </w:r>
          </w:p>
        </w:tc>
        <w:tc>
          <w:tcPr>
            <w:tcW w:type="dxa" w:w="48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Inter" w:cs="Inter" w:eastAsia="Inter" w:hAnsi="Inter"/>
                <w:b w:val="false"/>
                <w:bCs w:val="false"/>
                <w:color w:val="1F2937"/>
                <w:sz w:val="20"/>
                <w:szCs w:val="20"/>
              </w:rPr>
              <w:t xml:space="preserve">PRD v2.0 + Engineering Ticket Plan</w:t>
            </w:r>
          </w:p>
        </w:tc>
      </w:tr>
      <w:tr>
        <w:tc>
          <w:tcPr>
            <w:tcW w:type="dxa" w:w="24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Inter" w:cs="Inter" w:eastAsia="Inter" w:hAnsi="Inter"/>
                <w:b/>
                <w:bCs/>
                <w:color w:val="0B1F3A"/>
                <w:sz w:val="20"/>
                <w:szCs w:val="20"/>
              </w:rPr>
              <w:t xml:space="preserve">Use this doc to</w:t>
            </w:r>
          </w:p>
        </w:tc>
        <w:tc>
          <w:tcPr>
            <w:tcW w:type="dxa" w:w="4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Inter" w:cs="Inter" w:eastAsia="Inter" w:hAnsi="Inter"/>
                <w:b w:val="false"/>
                <w:bCs w:val="false"/>
                <w:color w:val="1F2937"/>
                <w:sz w:val="20"/>
                <w:szCs w:val="20"/>
              </w:rPr>
              <w:t xml:space="preserve">Lock vendor · brief engineering · price the SMB tier</w:t>
            </w:r>
          </w:p>
        </w:tc>
      </w:tr>
    </w:tbl>
    <w:p>
      <w:r>
        <w:br w:type="page"/>
      </w:r>
    </w:p>
    <w:p>
      <w:pPr>
        <w:pStyle w:val="Heading1"/>
        <w:spacing w:after="200" w:before="360"/>
      </w:pPr>
      <w:r>
        <w:rPr>
          <w:rFonts w:ascii="Inter" w:cs="Inter" w:eastAsia="Inter" w:hAnsi="Inter"/>
          <w:b/>
          <w:bCs/>
          <w:color w:val="0B1F3A"/>
          <w:sz w:val="40"/>
          <w:szCs w:val="40"/>
        </w:rP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Inter" w:cs="Inter" w:eastAsia="Inter" w:hAnsi="Inter"/>
          <w:b/>
          <w:bCs/>
          <w:color w:val="0B1F3A"/>
          <w:sz w:val="40"/>
          <w:szCs w:val="40"/>
        </w:rPr>
        <w:t xml:space="preserve">1.  Executive Summary</w:t>
      </w:r>
    </w:p>
    <w:p>
      <w:r>
        <w:rPr>
          <w:rFonts w:ascii="Inter" w:cs="Inter" w:eastAsia="Inter" w:hAnsi="Inter"/>
          <w:color w:val="1F2937"/>
          <w:sz w:val="22"/>
          <w:szCs w:val="22"/>
        </w:rPr>
        <w:t xml:space="preserve">HAIP is positioned for SMB and startup hospitality operators — clients receiving 20 to 100 calls per day on a single estate or portfolio. At that volume, vendor lock-in to enterprise telephony is a non-starter. This document picks the most affordable production-grade IVR vendor for the Indian SMB segment, walks the entire call lifecycle from "guest dials" to "AI score in dashboard", and prices each step so we know exactly what HAIP costs to run — and what we can charge with healthy margin.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4"/>
              <w:left w:val="single" w:color="0d9488" w:sz="24"/>
              <w:bottom w:val="single" w:color="0d9488" w:sz="4"/>
              <w:right w:val="single" w:color="0d9488" w:sz="4"/>
            </w:tcBorders>
            <w:shd w:fill="CCFBF1" w:val="clear"/>
            <w:tcMar>
              <w:top w:type="dxa" w:w="160"/>
              <w:left w:type="dxa" w:w="220"/>
              <w:bottom w:type="dxa" w:w="160"/>
              <w:right w:type="dxa" w:w="220"/>
            </w:tcMar>
          </w:tcPr>
          <w:p>
            <w:pPr>
              <w:spacing w:after="60"/>
            </w:pPr>
            <w:r>
              <w:rPr>
                <w:rFonts w:ascii="Inter" w:cs="Inter" w:eastAsia="Inter" w:hAnsi="Inter"/>
                <w:b/>
                <w:bCs/>
                <w:color w:val="0d9488"/>
                <w:sz w:val="22"/>
                <w:szCs w:val="22"/>
              </w:rPr>
              <w:t xml:space="preserve">TL;DR — Bottom line</w:t>
            </w:r>
          </w:p>
          <w:p>
            <w:pPr>
              <w:spacing w:after="40"/>
            </w:pPr>
            <w:r>
              <w:rPr>
                <w:rFonts w:ascii="Inter" w:cs="Inter" w:eastAsia="Inter" w:hAnsi="Inter"/>
                <w:color w:val="1F2937"/>
                <w:sz w:val="21"/>
                <w:szCs w:val="21"/>
              </w:rPr>
              <w:t xml:space="preserve">Recommend Exotel for India production, Plivo for international, and an adapter pattern from day one so tenants can bring their own carrier.</w:t>
            </w:r>
          </w:p>
          <w:p>
            <w:pPr>
              <w:spacing w:after="40"/>
            </w:pPr>
            <w:r>
              <w:rPr>
                <w:rFonts w:ascii="Inter" w:cs="Inter" w:eastAsia="Inter" w:hAnsi="Inter"/>
                <w:color w:val="1F2937"/>
                <w:sz w:val="21"/>
                <w:szCs w:val="21"/>
              </w:rPr>
              <w:t xml:space="preserve">A typical 4-minute call costs ₹3.38 to process end-to-end (telephony + transcription + AI). At ₹3,500/month for 600 calls, HAIP's gross margin is 42%.</w:t>
            </w:r>
          </w:p>
          <w:p>
            <w:pPr>
              <w:spacing w:after="40"/>
            </w:pPr>
            <w:r>
              <w:rPr>
                <w:rFonts w:ascii="Inter" w:cs="Inter" w:eastAsia="Inter" w:hAnsi="Inter"/>
                <w:color w:val="1F2937"/>
                <w:sz w:val="21"/>
                <w:szCs w:val="21"/>
              </w:rPr>
              <w:t xml:space="preserve">Whisper self-hosting and Haiku-only-classification can drive cost below ₹2 per call when scale demands it. Architect for that switch from the start.</w:t>
            </w:r>
          </w:p>
        </w:tc>
      </w:tr>
    </w:tbl>
    <w:p>
      <w:r>
        <w:br w:type="page"/>
      </w:r>
    </w:p>
    <w:p>
      <w:pPr>
        <w:pStyle w:val="Heading1"/>
        <w:spacing w:after="200" w:before="360"/>
      </w:pPr>
      <w:r>
        <w:rPr>
          <w:rFonts w:ascii="Inter" w:cs="Inter" w:eastAsia="Inter" w:hAnsi="Inter"/>
          <w:b/>
          <w:bCs/>
          <w:color w:val="0B1F3A"/>
          <w:sz w:val="40"/>
          <w:szCs w:val="40"/>
        </w:rPr>
        <w:t xml:space="preserve">2.  Vendor Recommendation</w:t>
      </w:r>
    </w:p>
    <w:p>
      <w:pPr>
        <w:pStyle w:val="Heading2"/>
        <w:spacing w:after="140" w:before="280"/>
      </w:pPr>
      <w:r>
        <w:rPr>
          <w:rFonts w:ascii="Inter" w:cs="Inter" w:eastAsia="Inter" w:hAnsi="Inter"/>
          <w:b/>
          <w:bCs/>
          <w:color w:val="163458"/>
          <w:sz w:val="30"/>
          <w:szCs w:val="30"/>
        </w:rPr>
        <w:t xml:space="preserve">2.1  The pick — Exotel for India, Plivo for international</w:t>
      </w:r>
    </w:p>
    <w:p>
      <w:r>
        <w:rPr>
          <w:rFonts w:ascii="Inter" w:cs="Inter" w:eastAsia="Inter" w:hAnsi="Inter"/>
          <w:color w:val="1F2937"/>
          <w:sz w:val="22"/>
          <w:szCs w:val="22"/>
        </w:rPr>
        <w:t xml:space="preserve">Six vendors are realistic for HAIP. We optimise for: low fixed cost (so a 20-call/day client doesn't get crushed by a base fee), reliable webhooks (silent failure on a call event = lost score = lost trust), India compliance baked in (DLT, recording consent, KYC), and a clean dev experience (we have to integrate this once and keep it stable for years).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500"/>
        <w:gridCol w:w="1500"/>
        <w:gridCol w:w="1500"/>
        <w:gridCol w:w="1660"/>
      </w:tblGrid>
      <w:tr>
        <w:trPr>
          <w:tblHeader/>
        </w:trPr>
        <w:tc>
          <w:tcPr>
            <w:tcW w:type="dxa" w:w="1700"/>
            <w:tcBorders>
              <w:top w:val="single" w:color="0B1F3A" w:sz="4"/>
              <w:left w:val="single" w:color="0B1F3A" w:sz="4"/>
              <w:bottom w:val="single" w:color="0B1F3A" w:sz="4"/>
              <w:right w:val="single" w:color="0B1F3A" w:sz="4"/>
            </w:tcBorders>
            <w:shd w:fill="0B1F3A" w:val="clear"/>
            <w:tcMar>
              <w:top w:type="dxa" w:w="100"/>
              <w:left w:type="dxa" w:w="140"/>
              <w:bottom w:type="dxa" w:w="100"/>
              <w:right w:type="dxa" w:w="140"/>
            </w:tcMar>
            <w:vAlign w:val="center"/>
          </w:tcPr>
          <w:p>
            <w:r>
              <w:rPr>
                <w:rFonts w:ascii="Inter" w:cs="Inter" w:eastAsia="Inter" w:hAnsi="Inter"/>
                <w:b/>
                <w:bCs/>
                <w:color w:val="FFFFFF"/>
                <w:sz w:val="20"/>
                <w:szCs w:val="20"/>
              </w:rPr>
              <w:t xml:space="preserve">Vendor</w:t>
            </w:r>
          </w:p>
        </w:tc>
        <w:tc>
          <w:tcPr>
            <w:tcW w:type="dxa" w:w="1500"/>
            <w:tcBorders>
              <w:top w:val="single" w:color="0B1F3A" w:sz="4"/>
              <w:left w:val="single" w:color="0B1F3A" w:sz="4"/>
              <w:bottom w:val="single" w:color="0B1F3A" w:sz="4"/>
              <w:right w:val="single" w:color="0B1F3A" w:sz="4"/>
            </w:tcBorders>
            <w:shd w:fill="0B1F3A" w:val="clear"/>
            <w:tcMar>
              <w:top w:type="dxa" w:w="100"/>
              <w:left w:type="dxa" w:w="140"/>
              <w:bottom w:type="dxa" w:w="100"/>
              <w:right w:type="dxa" w:w="140"/>
            </w:tcMar>
            <w:vAlign w:val="center"/>
          </w:tcPr>
          <w:p>
            <w:r>
              <w:rPr>
                <w:rFonts w:ascii="Inter" w:cs="Inter" w:eastAsia="Inter" w:hAnsi="Inter"/>
                <w:b/>
                <w:bCs/>
                <w:color w:val="FFFFFF"/>
                <w:sz w:val="20"/>
                <w:szCs w:val="20"/>
              </w:rPr>
              <w:t xml:space="preserve">Per-min (₹)</w:t>
            </w:r>
          </w:p>
        </w:tc>
        <w:tc>
          <w:tcPr>
            <w:tcW w:type="dxa" w:w="1500"/>
            <w:tcBorders>
              <w:top w:val="single" w:color="0B1F3A" w:sz="4"/>
              <w:left w:val="single" w:color="0B1F3A" w:sz="4"/>
              <w:bottom w:val="single" w:color="0B1F3A" w:sz="4"/>
              <w:right w:val="single" w:color="0B1F3A" w:sz="4"/>
            </w:tcBorders>
            <w:shd w:fill="0B1F3A" w:val="clear"/>
            <w:tcMar>
              <w:top w:type="dxa" w:w="100"/>
              <w:left w:type="dxa" w:w="140"/>
              <w:bottom w:type="dxa" w:w="100"/>
              <w:right w:type="dxa" w:w="140"/>
            </w:tcMar>
            <w:vAlign w:val="center"/>
          </w:tcPr>
          <w:p>
            <w:r>
              <w:rPr>
                <w:rFonts w:ascii="Inter" w:cs="Inter" w:eastAsia="Inter" w:hAnsi="Inter"/>
                <w:b/>
                <w:bCs/>
                <w:color w:val="FFFFFF"/>
                <w:sz w:val="20"/>
                <w:szCs w:val="20"/>
              </w:rPr>
              <w:t xml:space="preserve">Monthly DID (₹)</w:t>
            </w:r>
          </w:p>
        </w:tc>
        <w:tc>
          <w:tcPr>
            <w:tcW w:type="dxa" w:w="1500"/>
            <w:tcBorders>
              <w:top w:val="single" w:color="0B1F3A" w:sz="4"/>
              <w:left w:val="single" w:color="0B1F3A" w:sz="4"/>
              <w:bottom w:val="single" w:color="0B1F3A" w:sz="4"/>
              <w:right w:val="single" w:color="0B1F3A" w:sz="4"/>
            </w:tcBorders>
            <w:shd w:fill="0B1F3A" w:val="clear"/>
            <w:tcMar>
              <w:top w:type="dxa" w:w="100"/>
              <w:left w:type="dxa" w:w="140"/>
              <w:bottom w:type="dxa" w:w="100"/>
              <w:right w:type="dxa" w:w="140"/>
            </w:tcMar>
            <w:vAlign w:val="center"/>
          </w:tcPr>
          <w:p>
            <w:r>
              <w:rPr>
                <w:rFonts w:ascii="Inter" w:cs="Inter" w:eastAsia="Inter" w:hAnsi="Inter"/>
                <w:b/>
                <w:bCs/>
                <w:color w:val="FFFFFF"/>
                <w:sz w:val="20"/>
                <w:szCs w:val="20"/>
              </w:rPr>
              <w:t xml:space="preserve">India compliance</w:t>
            </w:r>
          </w:p>
        </w:tc>
        <w:tc>
          <w:tcPr>
            <w:tcW w:type="dxa" w:w="1500"/>
            <w:tcBorders>
              <w:top w:val="single" w:color="0B1F3A" w:sz="4"/>
              <w:left w:val="single" w:color="0B1F3A" w:sz="4"/>
              <w:bottom w:val="single" w:color="0B1F3A" w:sz="4"/>
              <w:right w:val="single" w:color="0B1F3A" w:sz="4"/>
            </w:tcBorders>
            <w:shd w:fill="0B1F3A" w:val="clear"/>
            <w:tcMar>
              <w:top w:type="dxa" w:w="100"/>
              <w:left w:type="dxa" w:w="140"/>
              <w:bottom w:type="dxa" w:w="100"/>
              <w:right w:type="dxa" w:w="140"/>
            </w:tcMar>
            <w:vAlign w:val="center"/>
          </w:tcPr>
          <w:p>
            <w:r>
              <w:rPr>
                <w:rFonts w:ascii="Inter" w:cs="Inter" w:eastAsia="Inter" w:hAnsi="Inter"/>
                <w:b/>
                <w:bCs/>
                <w:color w:val="FFFFFF"/>
                <w:sz w:val="20"/>
                <w:szCs w:val="20"/>
              </w:rPr>
              <w:t xml:space="preserve">Dev experience</w:t>
            </w:r>
          </w:p>
        </w:tc>
        <w:tc>
          <w:tcPr>
            <w:tcW w:type="dxa" w:w="1660"/>
            <w:tcBorders>
              <w:top w:val="single" w:color="0B1F3A" w:sz="4"/>
              <w:left w:val="single" w:color="0B1F3A" w:sz="4"/>
              <w:bottom w:val="single" w:color="0B1F3A" w:sz="4"/>
              <w:right w:val="single" w:color="0B1F3A" w:sz="4"/>
            </w:tcBorders>
            <w:shd w:fill="0B1F3A" w:val="clear"/>
            <w:tcMar>
              <w:top w:type="dxa" w:w="100"/>
              <w:left w:type="dxa" w:w="140"/>
              <w:bottom w:type="dxa" w:w="100"/>
              <w:right w:type="dxa" w:w="140"/>
            </w:tcMar>
            <w:vAlign w:val="center"/>
          </w:tcPr>
          <w:p>
            <w:r>
              <w:rPr>
                <w:rFonts w:ascii="Inter" w:cs="Inter" w:eastAsia="Inter" w:hAnsi="Inter"/>
                <w:b/>
                <w:bCs/>
                <w:color w:val="FFFFFF"/>
                <w:sz w:val="20"/>
                <w:szCs w:val="20"/>
              </w:rPr>
              <w:t xml:space="preserve">HAIP fit</w:t>
            </w:r>
          </w:p>
        </w:tc>
      </w:tr>
      <w:tr>
        <w:tc>
          <w:tcPr>
            <w:tcW w:type="dxa" w:w="170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20" w:before="20"/>
            </w:pPr>
            <w:r>
              <w:rPr>
                <w:rFonts w:ascii="Inter" w:cs="Inter" w:eastAsia="Inter" w:hAnsi="Inter"/>
                <w:b/>
                <w:bCs/>
                <w:color w:val="1F2937"/>
                <w:sz w:val="20"/>
                <w:szCs w:val="20"/>
              </w:rPr>
              <w:t xml:space="preserve">Exotel</w:t>
            </w:r>
          </w:p>
        </w:tc>
        <w:tc>
          <w:tcPr>
            <w:tcW w:type="dxa" w:w="150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0.50–0.65</w:t>
            </w:r>
          </w:p>
        </w:tc>
        <w:tc>
          <w:tcPr>
            <w:tcW w:type="dxa" w:w="150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500</w:t>
            </w:r>
          </w:p>
        </w:tc>
        <w:tc>
          <w:tcPr>
            <w:tcW w:type="dxa" w:w="150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20" w:before="20"/>
            </w:pPr>
            <w:r>
              <w:rPr>
                <w:rFonts w:ascii="Inter" w:cs="Inter" w:eastAsia="Inter" w:hAnsi="Inter"/>
                <w:b w:val="false"/>
                <w:bCs w:val="false"/>
                <w:color w:val="047857"/>
                <w:sz w:val="20"/>
                <w:szCs w:val="20"/>
              </w:rPr>
              <w:t xml:space="preserve">Native · easy KYC</w:t>
            </w:r>
          </w:p>
        </w:tc>
        <w:tc>
          <w:tcPr>
            <w:tcW w:type="dxa" w:w="150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Strong APIs · IVR builder</w:t>
            </w:r>
          </w:p>
        </w:tc>
        <w:tc>
          <w:tcPr>
            <w:tcW w:type="dxa" w:w="166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20" w:before="20"/>
            </w:pPr>
            <w:r>
              <w:rPr>
                <w:rFonts w:ascii="Inter" w:cs="Inter" w:eastAsia="Inter" w:hAnsi="Inter"/>
                <w:b/>
                <w:bCs/>
                <w:color w:val="0d9488"/>
                <w:sz w:val="20"/>
                <w:szCs w:val="20"/>
              </w:rPr>
              <w:t xml:space="preserve">PRIMARY · India SMB</w:t>
            </w:r>
          </w:p>
        </w:tc>
      </w:tr>
      <w:tr>
        <w:tc>
          <w:tcPr>
            <w:tcW w:type="dxa" w:w="17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20" w:before="20"/>
            </w:pPr>
            <w:r>
              <w:rPr>
                <w:rFonts w:ascii="Inter" w:cs="Inter" w:eastAsia="Inter" w:hAnsi="Inter"/>
                <w:b/>
                <w:bCs/>
                <w:color w:val="1F2937"/>
                <w:sz w:val="20"/>
                <w:szCs w:val="20"/>
              </w:rPr>
              <w:t xml:space="preserve">Plivo</w:t>
            </w:r>
          </w:p>
        </w:tc>
        <w:tc>
          <w:tcPr>
            <w:tcW w:type="dxa" w:w="15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0.46</w:t>
            </w:r>
          </w:p>
        </w:tc>
        <w:tc>
          <w:tcPr>
            <w:tcW w:type="dxa" w:w="15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250</w:t>
            </w:r>
          </w:p>
        </w:tc>
        <w:tc>
          <w:tcPr>
            <w:tcW w:type="dxa" w:w="15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Standard · DLT support</w:t>
            </w:r>
          </w:p>
        </w:tc>
        <w:tc>
          <w:tcPr>
            <w:tcW w:type="dxa" w:w="15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20" w:before="20"/>
            </w:pPr>
            <w:r>
              <w:rPr>
                <w:rFonts w:ascii="Inter" w:cs="Inter" w:eastAsia="Inter" w:hAnsi="Inter"/>
                <w:b w:val="false"/>
                <w:bCs w:val="false"/>
                <w:color w:val="047857"/>
                <w:sz w:val="20"/>
                <w:szCs w:val="20"/>
              </w:rPr>
              <w:t xml:space="preserve">Excellent · API-first</w:t>
            </w:r>
          </w:p>
        </w:tc>
        <w:tc>
          <w:tcPr>
            <w:tcW w:type="dxa" w:w="16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20" w:before="20"/>
            </w:pPr>
            <w:r>
              <w:rPr>
                <w:rFonts w:ascii="Inter" w:cs="Inter" w:eastAsia="Inter" w:hAnsi="Inter"/>
                <w:b/>
                <w:bCs/>
                <w:color w:val="0d9488"/>
                <w:sz w:val="20"/>
                <w:szCs w:val="20"/>
              </w:rPr>
              <w:t xml:space="preserve">INTL + low-cost option</w:t>
            </w:r>
          </w:p>
        </w:tc>
      </w:tr>
      <w:tr>
        <w:tc>
          <w:tcPr>
            <w:tcW w:type="dxa" w:w="170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Knowlarity</w:t>
            </w:r>
          </w:p>
        </w:tc>
        <w:tc>
          <w:tcPr>
            <w:tcW w:type="dxa" w:w="150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0.55–0.80</w:t>
            </w:r>
          </w:p>
        </w:tc>
        <w:tc>
          <w:tcPr>
            <w:tcW w:type="dxa" w:w="150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500</w:t>
            </w:r>
          </w:p>
        </w:tc>
        <w:tc>
          <w:tcPr>
            <w:tcW w:type="dxa" w:w="150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20" w:before="20"/>
            </w:pPr>
            <w:r>
              <w:rPr>
                <w:rFonts w:ascii="Inter" w:cs="Inter" w:eastAsia="Inter" w:hAnsi="Inter"/>
                <w:b w:val="false"/>
                <w:bCs w:val="false"/>
                <w:color w:val="047857"/>
                <w:sz w:val="20"/>
                <w:szCs w:val="20"/>
              </w:rPr>
              <w:t xml:space="preserve">Native</w:t>
            </w:r>
          </w:p>
        </w:tc>
        <w:tc>
          <w:tcPr>
            <w:tcW w:type="dxa" w:w="150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OK</w:t>
            </w:r>
          </w:p>
        </w:tc>
        <w:tc>
          <w:tcPr>
            <w:tcW w:type="dxa" w:w="166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Alternate India option</w:t>
            </w:r>
          </w:p>
        </w:tc>
      </w:tr>
      <w:tr>
        <w:tc>
          <w:tcPr>
            <w:tcW w:type="dxa" w:w="17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MyOperator</w:t>
            </w:r>
          </w:p>
        </w:tc>
        <w:tc>
          <w:tcPr>
            <w:tcW w:type="dxa" w:w="15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0.40 (in plan)</w:t>
            </w:r>
          </w:p>
        </w:tc>
        <w:tc>
          <w:tcPr>
            <w:tcW w:type="dxa" w:w="15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20" w:before="20"/>
            </w:pPr>
            <w:r>
              <w:rPr>
                <w:rFonts w:ascii="Inter" w:cs="Inter" w:eastAsia="Inter" w:hAnsi="Inter"/>
                <w:b w:val="false"/>
                <w:bCs w:val="false"/>
                <w:color w:val="92400E"/>
                <w:sz w:val="20"/>
                <w:szCs w:val="20"/>
              </w:rPr>
              <w:t xml:space="preserve">1,500 base</w:t>
            </w:r>
          </w:p>
        </w:tc>
        <w:tc>
          <w:tcPr>
            <w:tcW w:type="dxa" w:w="15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20" w:before="20"/>
            </w:pPr>
            <w:r>
              <w:rPr>
                <w:rFonts w:ascii="Inter" w:cs="Inter" w:eastAsia="Inter" w:hAnsi="Inter"/>
                <w:b w:val="false"/>
                <w:bCs w:val="false"/>
                <w:color w:val="047857"/>
                <w:sz w:val="20"/>
                <w:szCs w:val="20"/>
              </w:rPr>
              <w:t xml:space="preserve">Native</w:t>
            </w:r>
          </w:p>
        </w:tc>
        <w:tc>
          <w:tcPr>
            <w:tcW w:type="dxa" w:w="15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20" w:before="20"/>
            </w:pPr>
            <w:r>
              <w:rPr>
                <w:rFonts w:ascii="Inter" w:cs="Inter" w:eastAsia="Inter" w:hAnsi="Inter"/>
                <w:b w:val="false"/>
                <w:bCs w:val="false"/>
                <w:color w:val="92400E"/>
                <w:sz w:val="20"/>
                <w:szCs w:val="20"/>
              </w:rPr>
              <w:t xml:space="preserve">Limited APIs</w:t>
            </w:r>
          </w:p>
        </w:tc>
        <w:tc>
          <w:tcPr>
            <w:tcW w:type="dxa" w:w="16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Cheap but API-poor</w:t>
            </w:r>
          </w:p>
        </w:tc>
      </w:tr>
      <w:tr>
        <w:tc>
          <w:tcPr>
            <w:tcW w:type="dxa" w:w="170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Servetel</w:t>
            </w:r>
          </w:p>
        </w:tc>
        <w:tc>
          <w:tcPr>
            <w:tcW w:type="dxa" w:w="150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20" w:before="20"/>
            </w:pPr>
            <w:r>
              <w:rPr>
                <w:rFonts w:ascii="Inter" w:cs="Inter" w:eastAsia="Inter" w:hAnsi="Inter"/>
                <w:b/>
                <w:bCs/>
                <w:color w:val="047857"/>
                <w:sz w:val="20"/>
                <w:szCs w:val="20"/>
              </w:rPr>
              <w:t xml:space="preserve">0.30</w:t>
            </w:r>
          </w:p>
        </w:tc>
        <w:tc>
          <w:tcPr>
            <w:tcW w:type="dxa" w:w="150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300</w:t>
            </w:r>
          </w:p>
        </w:tc>
        <w:tc>
          <w:tcPr>
            <w:tcW w:type="dxa" w:w="150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Native</w:t>
            </w:r>
          </w:p>
        </w:tc>
        <w:tc>
          <w:tcPr>
            <w:tcW w:type="dxa" w:w="150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20" w:before="20"/>
            </w:pPr>
            <w:r>
              <w:rPr>
                <w:rFonts w:ascii="Inter" w:cs="Inter" w:eastAsia="Inter" w:hAnsi="Inter"/>
                <w:b w:val="false"/>
                <w:bCs w:val="false"/>
                <w:color w:val="92400E"/>
                <w:sz w:val="20"/>
                <w:szCs w:val="20"/>
              </w:rPr>
              <w:t xml:space="preserve">Webhooks unreliable at scale</w:t>
            </w:r>
          </w:p>
        </w:tc>
        <w:tc>
          <w:tcPr>
            <w:tcW w:type="dxa" w:w="166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Cheapest but risky</w:t>
            </w:r>
          </w:p>
        </w:tc>
      </w:tr>
      <w:tr>
        <w:tc>
          <w:tcPr>
            <w:tcW w:type="dxa" w:w="17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Twilio</w:t>
            </w:r>
          </w:p>
        </w:tc>
        <w:tc>
          <w:tcPr>
            <w:tcW w:type="dxa" w:w="15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1.00+</w:t>
            </w:r>
          </w:p>
        </w:tc>
        <w:tc>
          <w:tcPr>
            <w:tcW w:type="dxa" w:w="15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350</w:t>
            </w:r>
          </w:p>
        </w:tc>
        <w:tc>
          <w:tcPr>
            <w:tcW w:type="dxa" w:w="15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20" w:before="20"/>
            </w:pPr>
            <w:r>
              <w:rPr>
                <w:rFonts w:ascii="Inter" w:cs="Inter" w:eastAsia="Inter" w:hAnsi="Inter"/>
                <w:b w:val="false"/>
                <w:bCs w:val="false"/>
                <w:color w:val="92400E"/>
                <w:sz w:val="20"/>
                <w:szCs w:val="20"/>
              </w:rPr>
              <w:t xml:space="preserve">No native India</w:t>
            </w:r>
          </w:p>
        </w:tc>
        <w:tc>
          <w:tcPr>
            <w:tcW w:type="dxa" w:w="15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20" w:before="20"/>
            </w:pPr>
            <w:r>
              <w:rPr>
                <w:rFonts w:ascii="Inter" w:cs="Inter" w:eastAsia="Inter" w:hAnsi="Inter"/>
                <w:b w:val="false"/>
                <w:bCs w:val="false"/>
                <w:color w:val="047857"/>
                <w:sz w:val="20"/>
                <w:szCs w:val="20"/>
              </w:rPr>
              <w:t xml:space="preserve">Best globally</w:t>
            </w:r>
          </w:p>
        </w:tc>
        <w:tc>
          <w:tcPr>
            <w:tcW w:type="dxa" w:w="16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Too expensive for India SMB</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24"/>
              <w:bottom w:val="single" w:color="F59E0B" w:sz="4"/>
              <w:right w:val="single" w:color="F59E0B" w:sz="4"/>
            </w:tcBorders>
            <w:shd w:fill="FEF3C7" w:val="clear"/>
            <w:tcMar>
              <w:top w:type="dxa" w:w="160"/>
              <w:left w:type="dxa" w:w="220"/>
              <w:bottom w:type="dxa" w:w="160"/>
              <w:right w:type="dxa" w:w="220"/>
            </w:tcMar>
          </w:tcPr>
          <w:p>
            <w:pPr>
              <w:spacing w:after="60"/>
            </w:pPr>
            <w:r>
              <w:rPr>
                <w:rFonts w:ascii="Inter" w:cs="Inter" w:eastAsia="Inter" w:hAnsi="Inter"/>
                <w:b/>
                <w:bCs/>
                <w:color w:val="F59E0B"/>
                <w:sz w:val="22"/>
                <w:szCs w:val="22"/>
              </w:rPr>
              <w:t xml:space="preserve">WEDGE — Why Exotel + Plivo (not just one)</w:t>
            </w:r>
          </w:p>
          <w:p>
            <w:pPr>
              <w:spacing w:after="40"/>
            </w:pPr>
            <w:r>
              <w:rPr>
                <w:rFonts w:ascii="Inter" w:cs="Inter" w:eastAsia="Inter" w:hAnsi="Inter"/>
                <w:color w:val="1F2937"/>
                <w:sz w:val="21"/>
                <w:szCs w:val="21"/>
              </w:rPr>
              <w:t xml:space="preserve">Exotel wins on Indian compliance, ease of KYC, and IVR builder — most SMB tenants will sign up here.</w:t>
            </w:r>
          </w:p>
          <w:p>
            <w:pPr>
              <w:spacing w:after="40"/>
            </w:pPr>
            <w:r>
              <w:rPr>
                <w:rFonts w:ascii="Inter" w:cs="Inter" w:eastAsia="Inter" w:hAnsi="Inter"/>
                <w:color w:val="1F2937"/>
                <w:sz w:val="21"/>
                <w:szCs w:val="21"/>
              </w:rPr>
              <w:t xml:space="preserve">Plivo wins on per-minute price, pay-as-you-go (no monthly minimum), and identical APIs to Twilio (which makes future US/SEA expansion trivial).</w:t>
            </w:r>
          </w:p>
          <w:p>
            <w:pPr>
              <w:spacing w:after="40"/>
            </w:pPr>
            <w:r>
              <w:rPr>
                <w:rFonts w:ascii="Inter" w:cs="Inter" w:eastAsia="Inter" w:hAnsi="Inter"/>
                <w:color w:val="1F2937"/>
                <w:sz w:val="21"/>
                <w:szCs w:val="21"/>
              </w:rPr>
              <w:t xml:space="preserve">HAIP integrates both behind one adapter interface. The tenant's onboarding picks one. Switching later is a credentials change, not a re-platform.</w:t>
            </w:r>
          </w:p>
        </w:tc>
      </w:tr>
    </w:tbl>
    <w:p>
      <w:pPr>
        <w:spacing w:after="200"/>
      </w:pPr>
      <w:r>
        <w:t xml:space="preserve"/>
      </w:r>
    </w:p>
    <w:p>
      <w:pPr>
        <w:pStyle w:val="Heading2"/>
        <w:spacing w:after="140" w:before="280"/>
      </w:pPr>
      <w:r>
        <w:rPr>
          <w:rFonts w:ascii="Inter" w:cs="Inter" w:eastAsia="Inter" w:hAnsi="Inter"/>
          <w:b/>
          <w:bCs/>
          <w:color w:val="163458"/>
          <w:sz w:val="30"/>
          <w:szCs w:val="30"/>
        </w:rPr>
        <w:t xml:space="preserve">2.2  Why not the others</w:t>
      </w:r>
    </w:p>
    <w:p>
      <w:pPr>
        <w:pStyle w:val="ListParagraph"/>
        <w:numPr>
          <w:ilvl w:val="0"/>
          <w:numId w:val="2"/>
        </w:numPr>
        <w:spacing w:after="40" w:before="40"/>
      </w:pPr>
      <w:r>
        <w:rPr>
          <w:rFonts w:ascii="Inter" w:cs="Inter" w:eastAsia="Inter" w:hAnsi="Inter"/>
          <w:b/>
          <w:bCs/>
          <w:color w:val="1F2937"/>
          <w:sz w:val="22"/>
          <w:szCs w:val="22"/>
        </w:rPr>
        <w:t xml:space="preserve">MyOperator. </w:t>
      </w:r>
      <w:r>
        <w:rPr>
          <w:rFonts w:ascii="Inter" w:cs="Inter" w:eastAsia="Inter" w:hAnsi="Inter"/>
          <w:color w:val="1F2937"/>
          <w:sz w:val="22"/>
          <w:szCs w:val="22"/>
        </w:rPr>
        <w:t xml:space="preserve">Cheapest plan price, but APIs are limited and the IVR builder is rigid. Fine for a single-property buyer but blocks the multi-tenant SaaS model HAIP needs.</w:t>
      </w:r>
    </w:p>
    <w:p>
      <w:pPr>
        <w:pStyle w:val="ListParagraph"/>
        <w:numPr>
          <w:ilvl w:val="0"/>
          <w:numId w:val="2"/>
        </w:numPr>
        <w:spacing w:after="40" w:before="40"/>
      </w:pPr>
      <w:r>
        <w:rPr>
          <w:rFonts w:ascii="Inter" w:cs="Inter" w:eastAsia="Inter" w:hAnsi="Inter"/>
          <w:b/>
          <w:bCs/>
          <w:color w:val="1F2937"/>
          <w:sz w:val="22"/>
          <w:szCs w:val="22"/>
        </w:rPr>
        <w:t xml:space="preserve">Servetel. </w:t>
      </w:r>
      <w:r>
        <w:rPr>
          <w:rFonts w:ascii="Inter" w:cs="Inter" w:eastAsia="Inter" w:hAnsi="Inter"/>
          <w:color w:val="1F2937"/>
          <w:sz w:val="22"/>
          <w:szCs w:val="22"/>
        </w:rPr>
        <w:t xml:space="preserve">The cheapest per-minute, but webhook reliability is the achilles heel. For a QA platform where missing one call event = silently broken, this is unacceptable.</w:t>
      </w:r>
    </w:p>
    <w:p>
      <w:pPr>
        <w:pStyle w:val="ListParagraph"/>
        <w:numPr>
          <w:ilvl w:val="0"/>
          <w:numId w:val="2"/>
        </w:numPr>
        <w:spacing w:after="40" w:before="40"/>
      </w:pPr>
      <w:r>
        <w:rPr>
          <w:rFonts w:ascii="Inter" w:cs="Inter" w:eastAsia="Inter" w:hAnsi="Inter"/>
          <w:b/>
          <w:bCs/>
          <w:color w:val="1F2937"/>
          <w:sz w:val="22"/>
          <w:szCs w:val="22"/>
        </w:rPr>
        <w:t xml:space="preserve">Knowlarity. </w:t>
      </w:r>
      <w:r>
        <w:rPr>
          <w:rFonts w:ascii="Inter" w:cs="Inter" w:eastAsia="Inter" w:hAnsi="Inter"/>
          <w:color w:val="1F2937"/>
          <w:sz w:val="22"/>
          <w:szCs w:val="22"/>
        </w:rPr>
        <w:t xml:space="preserve">Solid alternative to Exotel but priced slightly higher and dev experience is closer to enterprise than SMB. Keep as a back-pocket option for tenants already on it.</w:t>
      </w:r>
    </w:p>
    <w:p>
      <w:pPr>
        <w:pStyle w:val="ListParagraph"/>
        <w:numPr>
          <w:ilvl w:val="0"/>
          <w:numId w:val="2"/>
        </w:numPr>
        <w:spacing w:after="40" w:before="40"/>
      </w:pPr>
      <w:r>
        <w:rPr>
          <w:rFonts w:ascii="Inter" w:cs="Inter" w:eastAsia="Inter" w:hAnsi="Inter"/>
          <w:b/>
          <w:bCs/>
          <w:color w:val="1F2937"/>
          <w:sz w:val="22"/>
          <w:szCs w:val="22"/>
        </w:rPr>
        <w:t xml:space="preserve">Twilio. </w:t>
      </w:r>
      <w:r>
        <w:rPr>
          <w:rFonts w:ascii="Inter" w:cs="Inter" w:eastAsia="Inter" w:hAnsi="Inter"/>
          <w:color w:val="1F2937"/>
          <w:sz w:val="22"/>
          <w:szCs w:val="22"/>
        </w:rPr>
        <w:t xml:space="preserve">Best engineering platform in the world but the per-minute price for India calls is ~2× the local players. Reserve for when HAIP expands outside India.</w:t>
      </w:r>
    </w:p>
    <w:p>
      <w:pPr>
        <w:pStyle w:val="ListParagraph"/>
        <w:numPr>
          <w:ilvl w:val="0"/>
          <w:numId w:val="2"/>
        </w:numPr>
        <w:spacing w:after="40" w:before="40"/>
      </w:pPr>
      <w:r>
        <w:rPr>
          <w:rFonts w:ascii="Inter" w:cs="Inter" w:eastAsia="Inter" w:hAnsi="Inter"/>
          <w:b/>
          <w:bCs/>
          <w:color w:val="1F2937"/>
          <w:sz w:val="22"/>
          <w:szCs w:val="22"/>
        </w:rPr>
        <w:t xml:space="preserve">Tata Smartflo / Ozonetel. </w:t>
      </w:r>
      <w:r>
        <w:rPr>
          <w:rFonts w:ascii="Inter" w:cs="Inter" w:eastAsia="Inter" w:hAnsi="Inter"/>
          <w:color w:val="1F2937"/>
          <w:sz w:val="22"/>
          <w:szCs w:val="22"/>
        </w:rPr>
        <w:t xml:space="preserve">Enterprise-tier — too much friction (sales calls, onboarding meetings, contract minimums) for a 20-call/day startup buyer.</w:t>
      </w:r>
    </w:p>
    <w:p>
      <w:r>
        <w:br w:type="page"/>
      </w:r>
    </w:p>
    <w:p>
      <w:pPr>
        <w:pStyle w:val="Heading1"/>
        <w:spacing w:after="200" w:before="360"/>
      </w:pPr>
      <w:r>
        <w:rPr>
          <w:rFonts w:ascii="Inter" w:cs="Inter" w:eastAsia="Inter" w:hAnsi="Inter"/>
          <w:b/>
          <w:bCs/>
          <w:color w:val="0B1F3A"/>
          <w:sz w:val="40"/>
          <w:szCs w:val="40"/>
        </w:rPr>
        <w:t xml:space="preserve">3.  End-to-end Call Sequence</w:t>
      </w:r>
    </w:p>
    <w:p>
      <w:r>
        <w:rPr>
          <w:rFonts w:ascii="Inter" w:cs="Inter" w:eastAsia="Inter" w:hAnsi="Inter"/>
          <w:color w:val="1F2937"/>
          <w:sz w:val="22"/>
          <w:szCs w:val="22"/>
        </w:rPr>
        <w:t xml:space="preserve">The whole point of the IVR module is to take "a phone rang" and end up with "an explainable AI score, evidence-linked, in front of the right humans" — within 90 seconds of the call ending. This section walks the 12 steps in order, with the latency budget at each hop.</w:t>
      </w:r>
    </w:p>
    <w:p>
      <w:pPr>
        <w:spacing w:after="120"/>
      </w:pPr>
      <w:r>
        <w:t xml:space="preserve"/>
      </w:r>
    </w:p>
    <w:p>
      <w:pPr>
        <w:pStyle w:val="Heading2"/>
        <w:spacing w:after="140" w:before="280"/>
      </w:pPr>
      <w:r>
        <w:rPr>
          <w:rFonts w:ascii="Inter" w:cs="Inter" w:eastAsia="Inter" w:hAnsi="Inter"/>
          <w:b/>
          <w:bCs/>
          <w:color w:val="163458"/>
          <w:sz w:val="30"/>
          <w:szCs w:val="30"/>
        </w:rPr>
        <w:t xml:space="preserve">3.1  The 12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900"/>
        <w:gridCol w:w="4500"/>
        <w:gridCol w:w="2360"/>
      </w:tblGrid>
      <w:tr>
        <w:trPr>
          <w:tblHeader/>
        </w:trPr>
        <w:tc>
          <w:tcPr>
            <w:tcW w:type="dxa" w:w="600"/>
            <w:tcBorders>
              <w:top w:val="single" w:color="0B1F3A" w:sz="4"/>
              <w:left w:val="single" w:color="0B1F3A" w:sz="4"/>
              <w:bottom w:val="single" w:color="0B1F3A" w:sz="4"/>
              <w:right w:val="single" w:color="0B1F3A" w:sz="4"/>
            </w:tcBorders>
            <w:shd w:fill="0B1F3A" w:val="clear"/>
            <w:tcMar>
              <w:top w:type="dxa" w:w="100"/>
              <w:left w:type="dxa" w:w="140"/>
              <w:bottom w:type="dxa" w:w="100"/>
              <w:right w:type="dxa" w:w="140"/>
            </w:tcMar>
            <w:vAlign w:val="center"/>
          </w:tcPr>
          <w:p>
            <w:r>
              <w:rPr>
                <w:rFonts w:ascii="Inter" w:cs="Inter" w:eastAsia="Inter" w:hAnsi="Inter"/>
                <w:b/>
                <w:bCs/>
                <w:color w:val="FFFFFF"/>
                <w:sz w:val="20"/>
                <w:szCs w:val="20"/>
              </w:rPr>
              <w:t xml:space="preserve">#</w:t>
            </w:r>
          </w:p>
        </w:tc>
        <w:tc>
          <w:tcPr>
            <w:tcW w:type="dxa" w:w="1900"/>
            <w:tcBorders>
              <w:top w:val="single" w:color="0B1F3A" w:sz="4"/>
              <w:left w:val="single" w:color="0B1F3A" w:sz="4"/>
              <w:bottom w:val="single" w:color="0B1F3A" w:sz="4"/>
              <w:right w:val="single" w:color="0B1F3A" w:sz="4"/>
            </w:tcBorders>
            <w:shd w:fill="0B1F3A" w:val="clear"/>
            <w:tcMar>
              <w:top w:type="dxa" w:w="100"/>
              <w:left w:type="dxa" w:w="140"/>
              <w:bottom w:type="dxa" w:w="100"/>
              <w:right w:type="dxa" w:w="140"/>
            </w:tcMar>
            <w:vAlign w:val="center"/>
          </w:tcPr>
          <w:p>
            <w:r>
              <w:rPr>
                <w:rFonts w:ascii="Inter" w:cs="Inter" w:eastAsia="Inter" w:hAnsi="Inter"/>
                <w:b/>
                <w:bCs/>
                <w:color w:val="FFFFFF"/>
                <w:sz w:val="20"/>
                <w:szCs w:val="20"/>
              </w:rPr>
              <w:t xml:space="preserve">Step</w:t>
            </w:r>
          </w:p>
        </w:tc>
        <w:tc>
          <w:tcPr>
            <w:tcW w:type="dxa" w:w="4500"/>
            <w:tcBorders>
              <w:top w:val="single" w:color="0B1F3A" w:sz="4"/>
              <w:left w:val="single" w:color="0B1F3A" w:sz="4"/>
              <w:bottom w:val="single" w:color="0B1F3A" w:sz="4"/>
              <w:right w:val="single" w:color="0B1F3A" w:sz="4"/>
            </w:tcBorders>
            <w:shd w:fill="0B1F3A" w:val="clear"/>
            <w:tcMar>
              <w:top w:type="dxa" w:w="100"/>
              <w:left w:type="dxa" w:w="140"/>
              <w:bottom w:type="dxa" w:w="100"/>
              <w:right w:type="dxa" w:w="140"/>
            </w:tcMar>
            <w:vAlign w:val="center"/>
          </w:tcPr>
          <w:p>
            <w:r>
              <w:rPr>
                <w:rFonts w:ascii="Inter" w:cs="Inter" w:eastAsia="Inter" w:hAnsi="Inter"/>
                <w:b/>
                <w:bCs/>
                <w:color w:val="FFFFFF"/>
                <w:sz w:val="20"/>
                <w:szCs w:val="20"/>
              </w:rPr>
              <w:t xml:space="preserve">What happens</w:t>
            </w:r>
          </w:p>
        </w:tc>
        <w:tc>
          <w:tcPr>
            <w:tcW w:type="dxa" w:w="2360"/>
            <w:tcBorders>
              <w:top w:val="single" w:color="0B1F3A" w:sz="4"/>
              <w:left w:val="single" w:color="0B1F3A" w:sz="4"/>
              <w:bottom w:val="single" w:color="0B1F3A" w:sz="4"/>
              <w:right w:val="single" w:color="0B1F3A" w:sz="4"/>
            </w:tcBorders>
            <w:shd w:fill="0B1F3A" w:val="clear"/>
            <w:tcMar>
              <w:top w:type="dxa" w:w="100"/>
              <w:left w:type="dxa" w:w="140"/>
              <w:bottom w:type="dxa" w:w="100"/>
              <w:right w:type="dxa" w:w="140"/>
            </w:tcMar>
            <w:vAlign w:val="center"/>
          </w:tcPr>
          <w:p>
            <w:r>
              <w:rPr>
                <w:rFonts w:ascii="Inter" w:cs="Inter" w:eastAsia="Inter" w:hAnsi="Inter"/>
                <w:b/>
                <w:bCs/>
                <w:color w:val="FFFFFF"/>
                <w:sz w:val="20"/>
                <w:szCs w:val="20"/>
              </w:rPr>
              <w:t xml:space="preserve">Latency budget</w:t>
            </w:r>
          </w:p>
        </w:tc>
      </w:tr>
      <w:tr>
        <w:tc>
          <w:tcPr>
            <w:tcW w:type="dxa" w:w="60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1</w:t>
            </w:r>
          </w:p>
        </w:tc>
        <w:tc>
          <w:tcPr>
            <w:tcW w:type="dxa" w:w="190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20" w:before="20"/>
            </w:pPr>
            <w:r>
              <w:rPr>
                <w:rFonts w:ascii="Inter" w:cs="Inter" w:eastAsia="Inter" w:hAnsi="Inter"/>
                <w:b/>
                <w:bCs/>
                <w:color w:val="1F2937"/>
                <w:sz w:val="20"/>
                <w:szCs w:val="20"/>
              </w:rPr>
              <w:t xml:space="preserve">Guest dials DID</w:t>
            </w:r>
          </w:p>
        </w:tc>
        <w:tc>
          <w:tcPr>
            <w:tcW w:type="dxa" w:w="450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Guest calls the property's public number. Exotel routes to its IVR layer.</w:t>
            </w:r>
          </w:p>
        </w:tc>
        <w:tc>
          <w:tcPr>
            <w:tcW w:type="dxa" w:w="236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instant</w:t>
            </w:r>
          </w:p>
        </w:tc>
      </w:tr>
      <w:tr>
        <w:tc>
          <w:tcPr>
            <w:tcW w:type="dxa" w:w="6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2</w:t>
            </w:r>
          </w:p>
        </w:tc>
        <w:tc>
          <w:tcPr>
            <w:tcW w:type="dxa" w:w="19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20" w:before="20"/>
            </w:pPr>
            <w:r>
              <w:rPr>
                <w:rFonts w:ascii="Inter" w:cs="Inter" w:eastAsia="Inter" w:hAnsi="Inter"/>
                <w:b/>
                <w:bCs/>
                <w:color w:val="1F2937"/>
                <w:sz w:val="20"/>
                <w:szCs w:val="20"/>
              </w:rPr>
              <w:t xml:space="preserve">IVR greeting + consent</w:t>
            </w:r>
          </w:p>
        </w:tc>
        <w:tc>
          <w:tcPr>
            <w:tcW w:type="dxa" w:w="45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"Welcome to Casa Aurora. This call may be recorded for quality. Press 1 for English, 2 for Hindi."</w:t>
            </w:r>
          </w:p>
        </w:tc>
        <w:tc>
          <w:tcPr>
            <w:tcW w:type="dxa" w:w="23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~3 s</w:t>
            </w:r>
          </w:p>
        </w:tc>
      </w:tr>
      <w:tr>
        <w:tc>
          <w:tcPr>
            <w:tcW w:type="dxa" w:w="60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3</w:t>
            </w:r>
          </w:p>
        </w:tc>
        <w:tc>
          <w:tcPr>
            <w:tcW w:type="dxa" w:w="190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20" w:before="20"/>
            </w:pPr>
            <w:r>
              <w:rPr>
                <w:rFonts w:ascii="Inter" w:cs="Inter" w:eastAsia="Inter" w:hAnsi="Inter"/>
                <w:b/>
                <w:bCs/>
                <w:color w:val="1F2937"/>
                <w:sz w:val="20"/>
                <w:szCs w:val="20"/>
              </w:rPr>
              <w:t xml:space="preserve">Routing logic</w:t>
            </w:r>
          </w:p>
        </w:tc>
        <w:tc>
          <w:tcPr>
            <w:tcW w:type="dxa" w:w="450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Exotel checks working hours and concierge availability. Routes to (a) live concierge, (b) on-call concierge's mobile via masking, or (c) voicemail.</w:t>
            </w:r>
          </w:p>
        </w:tc>
        <w:tc>
          <w:tcPr>
            <w:tcW w:type="dxa" w:w="236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&lt; 1 s</w:t>
            </w:r>
          </w:p>
        </w:tc>
      </w:tr>
      <w:tr>
        <w:tc>
          <w:tcPr>
            <w:tcW w:type="dxa" w:w="6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4</w:t>
            </w:r>
          </w:p>
        </w:tc>
        <w:tc>
          <w:tcPr>
            <w:tcW w:type="dxa" w:w="19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20" w:before="20"/>
            </w:pPr>
            <w:r>
              <w:rPr>
                <w:rFonts w:ascii="Inter" w:cs="Inter" w:eastAsia="Inter" w:hAnsi="Inter"/>
                <w:b/>
                <w:bCs/>
                <w:color w:val="1F2937"/>
                <w:sz w:val="20"/>
                <w:szCs w:val="20"/>
              </w:rPr>
              <w:t xml:space="preserve">Call connects · recording starts</w:t>
            </w:r>
          </w:p>
        </w:tc>
        <w:tc>
          <w:tcPr>
            <w:tcW w:type="dxa" w:w="45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Concierge picks up. Stereo recording begins automatically (agent on left, guest on right).</w:t>
            </w:r>
          </w:p>
        </w:tc>
        <w:tc>
          <w:tcPr>
            <w:tcW w:type="dxa" w:w="23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~5 s ring</w:t>
            </w:r>
          </w:p>
        </w:tc>
      </w:tr>
      <w:tr>
        <w:tc>
          <w:tcPr>
            <w:tcW w:type="dxa" w:w="60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5</w:t>
            </w:r>
          </w:p>
        </w:tc>
        <w:tc>
          <w:tcPr>
            <w:tcW w:type="dxa" w:w="190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20" w:before="20"/>
            </w:pPr>
            <w:r>
              <w:rPr>
                <w:rFonts w:ascii="Inter" w:cs="Inter" w:eastAsia="Inter" w:hAnsi="Inter"/>
                <w:b/>
                <w:bCs/>
                <w:color w:val="1F2937"/>
                <w:sz w:val="20"/>
                <w:szCs w:val="20"/>
              </w:rPr>
              <w:t xml:space="preserve">Conversation</w:t>
            </w:r>
          </w:p>
        </w:tc>
        <w:tc>
          <w:tcPr>
            <w:tcW w:type="dxa" w:w="450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Average 4 minutes for inbound qualification calls in hospitality.</w:t>
            </w:r>
          </w:p>
        </w:tc>
        <w:tc>
          <w:tcPr>
            <w:tcW w:type="dxa" w:w="236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4 min</w:t>
            </w:r>
          </w:p>
        </w:tc>
      </w:tr>
      <w:tr>
        <w:tc>
          <w:tcPr>
            <w:tcW w:type="dxa" w:w="6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6</w:t>
            </w:r>
          </w:p>
        </w:tc>
        <w:tc>
          <w:tcPr>
            <w:tcW w:type="dxa" w:w="19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20" w:before="20"/>
            </w:pPr>
            <w:r>
              <w:rPr>
                <w:rFonts w:ascii="Inter" w:cs="Inter" w:eastAsia="Inter" w:hAnsi="Inter"/>
                <w:b/>
                <w:bCs/>
                <w:color w:val="1F2937"/>
                <w:sz w:val="20"/>
                <w:szCs w:val="20"/>
              </w:rPr>
              <w:t xml:space="preserve">Call ends · webhook fires</w:t>
            </w:r>
          </w:p>
        </w:tc>
        <w:tc>
          <w:tcPr>
            <w:tcW w:type="dxa" w:w="45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Exotel POSTs `/wh/voice/exotel` with: call ID, from, to, duration, direction, recording URL, agent leg ID.</w:t>
            </w:r>
          </w:p>
        </w:tc>
        <w:tc>
          <w:tcPr>
            <w:tcW w:type="dxa" w:w="23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&lt; 500 ms after end</w:t>
            </w:r>
          </w:p>
        </w:tc>
      </w:tr>
      <w:tr>
        <w:tc>
          <w:tcPr>
            <w:tcW w:type="dxa" w:w="60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7</w:t>
            </w:r>
          </w:p>
        </w:tc>
        <w:tc>
          <w:tcPr>
            <w:tcW w:type="dxa" w:w="190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20" w:before="20"/>
            </w:pPr>
            <w:r>
              <w:rPr>
                <w:rFonts w:ascii="Inter" w:cs="Inter" w:eastAsia="Inter" w:hAnsi="Inter"/>
                <w:b/>
                <w:bCs/>
                <w:color w:val="1F2937"/>
                <w:sz w:val="20"/>
                <w:szCs w:val="20"/>
              </w:rPr>
              <w:t xml:space="preserve">Webhook handler · sync work</w:t>
            </w:r>
          </w:p>
        </w:tc>
        <w:tc>
          <w:tcPr>
            <w:tcW w:type="dxa" w:w="450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(a) Verify HMAC signature → reject if invalid. (b) Phone-based dedup → upsert Guest. (c) Create Call record. (d) Link to existing open Inquiry by phone, or create new Inquiry. (e) Queue 3 jobs.</w:t>
            </w:r>
          </w:p>
        </w:tc>
        <w:tc>
          <w:tcPr>
            <w:tcW w:type="dxa" w:w="236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&lt; 300 ms p95</w:t>
            </w:r>
          </w:p>
        </w:tc>
      </w:tr>
      <w:tr>
        <w:tc>
          <w:tcPr>
            <w:tcW w:type="dxa" w:w="6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8</w:t>
            </w:r>
          </w:p>
        </w:tc>
        <w:tc>
          <w:tcPr>
            <w:tcW w:type="dxa" w:w="19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20" w:before="20"/>
            </w:pPr>
            <w:r>
              <w:rPr>
                <w:rFonts w:ascii="Inter" w:cs="Inter" w:eastAsia="Inter" w:hAnsi="Inter"/>
                <w:b/>
                <w:bCs/>
                <w:color w:val="1F2937"/>
                <w:sz w:val="20"/>
                <w:szCs w:val="20"/>
              </w:rPr>
              <w:t xml:space="preserve">Job A · Recording fetch</w:t>
            </w:r>
          </w:p>
        </w:tc>
        <w:tc>
          <w:tcPr>
            <w:tcW w:type="dxa" w:w="45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Worker downloads MP3 from Exotel CDN, writes to S3 with per-tenant KMS key. Stores signed URL on Call.</w:t>
            </w:r>
          </w:p>
        </w:tc>
        <w:tc>
          <w:tcPr>
            <w:tcW w:type="dxa" w:w="23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&lt; 5 s</w:t>
            </w:r>
          </w:p>
        </w:tc>
      </w:tr>
      <w:tr>
        <w:tc>
          <w:tcPr>
            <w:tcW w:type="dxa" w:w="60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9</w:t>
            </w:r>
          </w:p>
        </w:tc>
        <w:tc>
          <w:tcPr>
            <w:tcW w:type="dxa" w:w="190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20" w:before="20"/>
            </w:pPr>
            <w:r>
              <w:rPr>
                <w:rFonts w:ascii="Inter" w:cs="Inter" w:eastAsia="Inter" w:hAnsi="Inter"/>
                <w:b/>
                <w:bCs/>
                <w:color w:val="1F2937"/>
                <w:sz w:val="20"/>
                <w:szCs w:val="20"/>
              </w:rPr>
              <w:t xml:space="preserve">Job B · Transcription</w:t>
            </w:r>
          </w:p>
        </w:tc>
        <w:tc>
          <w:tcPr>
            <w:tcW w:type="dxa" w:w="450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Send to Deepgram Nova-2 (production) or Whisper (cost-tier fallback). Speaker diarisation. Output: turn-by-turn JSON with timestamps + confidences.</w:t>
            </w:r>
          </w:p>
        </w:tc>
        <w:tc>
          <w:tcPr>
            <w:tcW w:type="dxa" w:w="236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20–40 s for 4 min</w:t>
            </w:r>
          </w:p>
        </w:tc>
      </w:tr>
      <w:tr>
        <w:tc>
          <w:tcPr>
            <w:tcW w:type="dxa" w:w="6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10</w:t>
            </w:r>
          </w:p>
        </w:tc>
        <w:tc>
          <w:tcPr>
            <w:tcW w:type="dxa" w:w="19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20" w:before="20"/>
            </w:pPr>
            <w:r>
              <w:rPr>
                <w:rFonts w:ascii="Inter" w:cs="Inter" w:eastAsia="Inter" w:hAnsi="Inter"/>
                <w:b/>
                <w:bCs/>
                <w:color w:val="1F2937"/>
                <w:sz w:val="20"/>
                <w:szCs w:val="20"/>
              </w:rPr>
              <w:t xml:space="preserve">PII redaction at L1</w:t>
            </w:r>
          </w:p>
        </w:tc>
        <w:tc>
          <w:tcPr>
            <w:tcW w:type="dxa" w:w="45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Regex + NER pass: card numbers, Aadhaar, PAN, email, phone — replaced with reversible tokens stored in tenant vault. Raw text never leaves L1.</w:t>
            </w:r>
          </w:p>
        </w:tc>
        <w:tc>
          <w:tcPr>
            <w:tcW w:type="dxa" w:w="23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&lt; 1 s</w:t>
            </w:r>
          </w:p>
        </w:tc>
      </w:tr>
      <w:tr>
        <w:tc>
          <w:tcPr>
            <w:tcW w:type="dxa" w:w="60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11</w:t>
            </w:r>
          </w:p>
        </w:tc>
        <w:tc>
          <w:tcPr>
            <w:tcW w:type="dxa" w:w="190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20" w:before="20"/>
            </w:pPr>
            <w:r>
              <w:rPr>
                <w:rFonts w:ascii="Inter" w:cs="Inter" w:eastAsia="Inter" w:hAnsi="Inter"/>
                <w:b/>
                <w:bCs/>
                <w:color w:val="1F2937"/>
                <w:sz w:val="20"/>
                <w:szCs w:val="20"/>
              </w:rPr>
              <w:t xml:space="preserve">Job C · LLM judge</w:t>
            </w:r>
          </w:p>
        </w:tc>
        <w:tc>
          <w:tcPr>
            <w:tcW w:type="dxa" w:w="450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Haiku for sentiment + intent + language detect. Sonnet for the 12-criterion rubric judge with structured-output JSON. Each criterion gets a score, a confidence, and a transcript-span citation.</w:t>
            </w:r>
          </w:p>
        </w:tc>
        <w:tc>
          <w:tcPr>
            <w:tcW w:type="dxa" w:w="236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20–40 s</w:t>
            </w:r>
          </w:p>
        </w:tc>
      </w:tr>
      <w:tr>
        <w:tc>
          <w:tcPr>
            <w:tcW w:type="dxa" w:w="6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12</w:t>
            </w:r>
          </w:p>
        </w:tc>
        <w:tc>
          <w:tcPr>
            <w:tcW w:type="dxa" w:w="19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20" w:before="20"/>
            </w:pPr>
            <w:r>
              <w:rPr>
                <w:rFonts w:ascii="Inter" w:cs="Inter" w:eastAsia="Inter" w:hAnsi="Inter"/>
                <w:b/>
                <w:bCs/>
                <w:color w:val="1F2937"/>
                <w:sz w:val="20"/>
                <w:szCs w:val="20"/>
              </w:rPr>
              <w:t xml:space="preserve">Fan-out + UI</w:t>
            </w:r>
          </w:p>
        </w:tc>
        <w:tc>
          <w:tcPr>
            <w:tcW w:type="dxa" w:w="45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Score persisted. `score.computed` event emitted. Concierge cockpit, owner dashboard, QA workbench all update via SSE/WebSocket. Auto-fail criteria fire compliance alerts.</w:t>
            </w:r>
          </w:p>
        </w:tc>
        <w:tc>
          <w:tcPr>
            <w:tcW w:type="dxa" w:w="23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&lt; 2 s</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4"/>
              <w:left w:val="single" w:color="3B82F6" w:sz="24"/>
              <w:bottom w:val="single" w:color="3B82F6" w:sz="4"/>
              <w:right w:val="single" w:color="3B82F6" w:sz="4"/>
            </w:tcBorders>
            <w:shd w:fill="EFF6FF" w:val="clear"/>
            <w:tcMar>
              <w:top w:type="dxa" w:w="160"/>
              <w:left w:type="dxa" w:w="220"/>
              <w:bottom w:type="dxa" w:w="160"/>
              <w:right w:type="dxa" w:w="220"/>
            </w:tcMar>
          </w:tcPr>
          <w:p>
            <w:pPr>
              <w:spacing w:after="60"/>
            </w:pPr>
            <w:r>
              <w:rPr>
                <w:rFonts w:ascii="Inter" w:cs="Inter" w:eastAsia="Inter" w:hAnsi="Inter"/>
                <w:b/>
                <w:bCs/>
                <w:color w:val="3B82F6"/>
                <w:sz w:val="22"/>
                <w:szCs w:val="22"/>
              </w:rPr>
              <w:t xml:space="preserve">BUDGET — Latency math</w:t>
            </w:r>
          </w:p>
          <w:p>
            <w:pPr>
              <w:spacing w:after="40"/>
            </w:pPr>
            <w:r>
              <w:rPr>
                <w:rFonts w:ascii="Inter" w:cs="Inter" w:eastAsia="Inter" w:hAnsi="Inter"/>
                <w:color w:val="1F2937"/>
                <w:sz w:val="21"/>
                <w:szCs w:val="21"/>
              </w:rPr>
              <w:t xml:space="preserve">Worst case · synchronous path (steps 6 → 12): 0.5s + 0.3s + 5s + 40s + 1s + 40s + 2s = 88.8 seconds.</w:t>
            </w:r>
          </w:p>
          <w:p>
            <w:pPr>
              <w:spacing w:after="40"/>
            </w:pPr>
            <w:r>
              <w:rPr>
                <w:rFonts w:ascii="Inter" w:cs="Inter" w:eastAsia="Inter" w:hAnsi="Inter"/>
                <w:color w:val="1F2937"/>
                <w:sz w:val="21"/>
                <w:szCs w:val="21"/>
              </w:rPr>
              <w:t xml:space="preserve">Target SLA: AI score available within 90 seconds of call end. We hit it with ~1 second to spare.</w:t>
            </w:r>
          </w:p>
          <w:p>
            <w:pPr>
              <w:spacing w:after="40"/>
            </w:pPr>
            <w:r>
              <w:rPr>
                <w:rFonts w:ascii="Inter" w:cs="Inter" w:eastAsia="Inter" w:hAnsi="Inter"/>
                <w:color w:val="1F2937"/>
                <w:sz w:val="21"/>
                <w:szCs w:val="21"/>
              </w:rPr>
              <w:t xml:space="preserve">Concurrency: jobs 8 and 9 run in parallel; jobs 9 and 11 are sequential. Bottleneck is transcription on long calls.</w:t>
            </w:r>
          </w:p>
        </w:tc>
      </w:tr>
    </w:tbl>
    <w:p>
      <w:pPr>
        <w:spacing w:after="200"/>
      </w:pPr>
      <w:r>
        <w:t xml:space="preserve"/>
      </w:r>
    </w:p>
    <w:p>
      <w:pPr>
        <w:pStyle w:val="Heading2"/>
        <w:spacing w:after="140" w:before="280"/>
      </w:pPr>
      <w:r>
        <w:rPr>
          <w:rFonts w:ascii="Inter" w:cs="Inter" w:eastAsia="Inter" w:hAnsi="Inter"/>
          <w:b/>
          <w:bCs/>
          <w:color w:val="163458"/>
          <w:sz w:val="30"/>
          <w:szCs w:val="30"/>
        </w:rPr>
        <w:t xml:space="preserve">3.2  Critical guardrails baked into the flow</w:t>
      </w:r>
    </w:p>
    <w:p>
      <w:pPr>
        <w:pStyle w:val="ListParagraph"/>
        <w:numPr>
          <w:ilvl w:val="0"/>
          <w:numId w:val="2"/>
        </w:numPr>
        <w:spacing w:after="40" w:before="40"/>
      </w:pPr>
      <w:r>
        <w:rPr>
          <w:rFonts w:ascii="Inter" w:cs="Inter" w:eastAsia="Inter" w:hAnsi="Inter"/>
          <w:b/>
          <w:bCs/>
          <w:color w:val="EF4444"/>
          <w:sz w:val="22"/>
          <w:szCs w:val="22"/>
        </w:rPr>
        <w:t xml:space="preserve">Webhook signature verification (step 7a). </w:t>
      </w:r>
      <w:r>
        <w:rPr>
          <w:rFonts w:ascii="Inter" w:cs="Inter" w:eastAsia="Inter" w:hAnsi="Inter"/>
          <w:color w:val="1F2937"/>
          <w:sz w:val="22"/>
          <w:szCs w:val="22"/>
        </w:rPr>
        <w:t xml:space="preserve">Without this, anyone can POST a fake call event and corrupt your data. Mandatory on day one.</w:t>
      </w:r>
    </w:p>
    <w:p>
      <w:pPr>
        <w:pStyle w:val="ListParagraph"/>
        <w:numPr>
          <w:ilvl w:val="0"/>
          <w:numId w:val="2"/>
        </w:numPr>
        <w:spacing w:after="40" w:before="40"/>
      </w:pPr>
      <w:r>
        <w:rPr>
          <w:rFonts w:ascii="Inter" w:cs="Inter" w:eastAsia="Inter" w:hAnsi="Inter"/>
          <w:b/>
          <w:bCs/>
          <w:color w:val="EF4444"/>
          <w:sz w:val="22"/>
          <w:szCs w:val="22"/>
        </w:rPr>
        <w:t xml:space="preserve">Phone-based identity (step 7b). </w:t>
      </w:r>
      <w:r>
        <w:rPr>
          <w:rFonts w:ascii="Inter" w:cs="Inter" w:eastAsia="Inter" w:hAnsi="Inter"/>
          <w:color w:val="1F2937"/>
          <w:sz w:val="22"/>
          <w:szCs w:val="22"/>
        </w:rPr>
        <w:t xml:space="preserve">E.164 normalised phone is the primary key for Guest. Email and cookie are metadata. This is what keeps the Inquiry → Conversation → Booking → Stay → Revenue thread intact.</w:t>
      </w:r>
    </w:p>
    <w:p>
      <w:pPr>
        <w:pStyle w:val="ListParagraph"/>
        <w:numPr>
          <w:ilvl w:val="0"/>
          <w:numId w:val="2"/>
        </w:numPr>
        <w:spacing w:after="40" w:before="40"/>
      </w:pPr>
      <w:r>
        <w:rPr>
          <w:rFonts w:ascii="Inter" w:cs="Inter" w:eastAsia="Inter" w:hAnsi="Inter"/>
          <w:b/>
          <w:bCs/>
          <w:color w:val="EF4444"/>
          <w:sz w:val="22"/>
          <w:szCs w:val="22"/>
        </w:rPr>
        <w:t xml:space="preserve">PII redaction at L1 (step 10). </w:t>
      </w:r>
      <w:r>
        <w:rPr>
          <w:rFonts w:ascii="Inter" w:cs="Inter" w:eastAsia="Inter" w:hAnsi="Inter"/>
          <w:color w:val="1F2937"/>
          <w:sz w:val="22"/>
          <w:szCs w:val="22"/>
        </w:rPr>
        <w:t xml:space="preserve">Raw card numbers and Aadhaar must NEVER reach the LLM. Redaction happens before the transcript is shipped to L2 (LLM judge). Use reversible tokens so QA can still see "card ending 4231" if they need to.</w:t>
      </w:r>
    </w:p>
    <w:p>
      <w:pPr>
        <w:pStyle w:val="ListParagraph"/>
        <w:numPr>
          <w:ilvl w:val="0"/>
          <w:numId w:val="2"/>
        </w:numPr>
        <w:spacing w:after="40" w:before="40"/>
      </w:pPr>
      <w:r>
        <w:rPr>
          <w:rFonts w:ascii="Inter" w:cs="Inter" w:eastAsia="Inter" w:hAnsi="Inter"/>
          <w:b/>
          <w:bCs/>
          <w:color w:val="EF4444"/>
          <w:sz w:val="22"/>
          <w:szCs w:val="22"/>
        </w:rPr>
        <w:t xml:space="preserve">Idempotency on retry (step 6). </w:t>
      </w:r>
      <w:r>
        <w:rPr>
          <w:rFonts w:ascii="Inter" w:cs="Inter" w:eastAsia="Inter" w:hAnsi="Inter"/>
          <w:color w:val="1F2937"/>
          <w:sz w:val="22"/>
          <w:szCs w:val="22"/>
        </w:rPr>
        <w:t xml:space="preserve">Exotel retries webhooks. Use the call ID as an idempotency key — the second call must be a no-op.</w:t>
      </w:r>
    </w:p>
    <w:p>
      <w:pPr>
        <w:pStyle w:val="ListParagraph"/>
        <w:numPr>
          <w:ilvl w:val="0"/>
          <w:numId w:val="2"/>
        </w:numPr>
        <w:spacing w:after="40" w:before="40"/>
      </w:pPr>
      <w:r>
        <w:rPr>
          <w:rFonts w:ascii="Inter" w:cs="Inter" w:eastAsia="Inter" w:hAnsi="Inter"/>
          <w:b/>
          <w:bCs/>
          <w:color w:val="EF4444"/>
          <w:sz w:val="22"/>
          <w:szCs w:val="22"/>
        </w:rPr>
        <w:t xml:space="preserve">Drift monitor (continuous). </w:t>
      </w:r>
      <w:r>
        <w:rPr>
          <w:rFonts w:ascii="Inter" w:cs="Inter" w:eastAsia="Inter" w:hAnsi="Inter"/>
          <w:color w:val="1F2937"/>
          <w:sz w:val="22"/>
          <w:szCs w:val="22"/>
        </w:rPr>
        <w:t xml:space="preserve">Daily compare AI scores vs sampled human grades. Auto-pause automation if agreement drops below tenant threshold.</w:t>
      </w:r>
    </w:p>
    <w:p>
      <w:r>
        <w:br w:type="page"/>
      </w:r>
    </w:p>
    <w:p>
      <w:pPr>
        <w:pStyle w:val="Heading1"/>
        <w:spacing w:after="200" w:before="360"/>
      </w:pPr>
      <w:r>
        <w:rPr>
          <w:rFonts w:ascii="Inter" w:cs="Inter" w:eastAsia="Inter" w:hAnsi="Inter"/>
          <w:b/>
          <w:bCs/>
          <w:color w:val="0B1F3A"/>
          <w:sz w:val="40"/>
          <w:szCs w:val="40"/>
        </w:rPr>
        <w:t xml:space="preserve">4.  Per-call Cost Model</w:t>
      </w:r>
    </w:p>
    <w:p>
      <w:r>
        <w:rPr>
          <w:rFonts w:ascii="Inter" w:cs="Inter" w:eastAsia="Inter" w:hAnsi="Inter"/>
          <w:color w:val="1F2937"/>
          <w:sz w:val="22"/>
          <w:szCs w:val="22"/>
        </w:rPr>
        <w:t xml:space="preserve">Every call HAIP processes consumes four cost buckets: telephony, transcription, LLM, and storage. We price the median 4-minute hospitality qualification call across two stack configurations: a "premium" stack (Exotel + Deepgram + Sonnet) and an "efficient" stack (Plivo + Whisper self-hosted + Haiku-only). Same architecture; switching is a config change.</w:t>
      </w:r>
    </w:p>
    <w:p>
      <w:pPr>
        <w:spacing w:after="120"/>
      </w:pPr>
      <w:r>
        <w:t xml:space="preserve"/>
      </w:r>
    </w:p>
    <w:p>
      <w:pPr>
        <w:pStyle w:val="Heading2"/>
        <w:spacing w:after="140" w:before="280"/>
      </w:pPr>
      <w:r>
        <w:rPr>
          <w:rFonts w:ascii="Inter" w:cs="Inter" w:eastAsia="Inter" w:hAnsi="Inter"/>
          <w:b/>
          <w:bCs/>
          <w:color w:val="163458"/>
          <w:sz w:val="30"/>
          <w:szCs w:val="30"/>
        </w:rPr>
        <w:t xml:space="preserve">4.1  Premium stack — Exotel + Deepgram + Sonnet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400"/>
        <w:gridCol w:w="2960"/>
      </w:tblGrid>
      <w:tr>
        <w:trPr>
          <w:tblHeader/>
        </w:trPr>
        <w:tc>
          <w:tcPr>
            <w:tcW w:type="dxa" w:w="2200"/>
            <w:tcBorders>
              <w:top w:val="single" w:color="0B1F3A" w:sz="4"/>
              <w:left w:val="single" w:color="0B1F3A" w:sz="4"/>
              <w:bottom w:val="single" w:color="0B1F3A" w:sz="4"/>
              <w:right w:val="single" w:color="0B1F3A" w:sz="4"/>
            </w:tcBorders>
            <w:shd w:fill="0B1F3A" w:val="clear"/>
            <w:tcMar>
              <w:top w:type="dxa" w:w="100"/>
              <w:left w:type="dxa" w:w="140"/>
              <w:bottom w:type="dxa" w:w="100"/>
              <w:right w:type="dxa" w:w="140"/>
            </w:tcMar>
            <w:vAlign w:val="center"/>
          </w:tcPr>
          <w:p>
            <w:r>
              <w:rPr>
                <w:rFonts w:ascii="Inter" w:cs="Inter" w:eastAsia="Inter" w:hAnsi="Inter"/>
                <w:b/>
                <w:bCs/>
                <w:color w:val="FFFFFF"/>
                <w:sz w:val="20"/>
                <w:szCs w:val="20"/>
              </w:rPr>
              <w:t xml:space="preserve">Component</w:t>
            </w:r>
          </w:p>
        </w:tc>
        <w:tc>
          <w:tcPr>
            <w:tcW w:type="dxa" w:w="1400"/>
            <w:tcBorders>
              <w:top w:val="single" w:color="0B1F3A" w:sz="4"/>
              <w:left w:val="single" w:color="0B1F3A" w:sz="4"/>
              <w:bottom w:val="single" w:color="0B1F3A" w:sz="4"/>
              <w:right w:val="single" w:color="0B1F3A" w:sz="4"/>
            </w:tcBorders>
            <w:shd w:fill="0B1F3A" w:val="clear"/>
            <w:tcMar>
              <w:top w:type="dxa" w:w="100"/>
              <w:left w:type="dxa" w:w="140"/>
              <w:bottom w:type="dxa" w:w="100"/>
              <w:right w:type="dxa" w:w="140"/>
            </w:tcMar>
            <w:vAlign w:val="center"/>
          </w:tcPr>
          <w:p>
            <w:r>
              <w:rPr>
                <w:rFonts w:ascii="Inter" w:cs="Inter" w:eastAsia="Inter" w:hAnsi="Inter"/>
                <w:b/>
                <w:bCs/>
                <w:color w:val="FFFFFF"/>
                <w:sz w:val="20"/>
                <w:szCs w:val="20"/>
              </w:rPr>
              <w:t xml:space="preserve">Unit</w:t>
            </w:r>
          </w:p>
        </w:tc>
        <w:tc>
          <w:tcPr>
            <w:tcW w:type="dxa" w:w="1400"/>
            <w:tcBorders>
              <w:top w:val="single" w:color="0B1F3A" w:sz="4"/>
              <w:left w:val="single" w:color="0B1F3A" w:sz="4"/>
              <w:bottom w:val="single" w:color="0B1F3A" w:sz="4"/>
              <w:right w:val="single" w:color="0B1F3A" w:sz="4"/>
            </w:tcBorders>
            <w:shd w:fill="0B1F3A" w:val="clear"/>
            <w:tcMar>
              <w:top w:type="dxa" w:w="100"/>
              <w:left w:type="dxa" w:w="140"/>
              <w:bottom w:type="dxa" w:w="100"/>
              <w:right w:type="dxa" w:w="140"/>
            </w:tcMar>
            <w:vAlign w:val="center"/>
          </w:tcPr>
          <w:p>
            <w:r>
              <w:rPr>
                <w:rFonts w:ascii="Inter" w:cs="Inter" w:eastAsia="Inter" w:hAnsi="Inter"/>
                <w:b/>
                <w:bCs/>
                <w:color w:val="FFFFFF"/>
                <w:sz w:val="20"/>
                <w:szCs w:val="20"/>
              </w:rPr>
              <w:t xml:space="preserve">Rate</w:t>
            </w:r>
          </w:p>
        </w:tc>
        <w:tc>
          <w:tcPr>
            <w:tcW w:type="dxa" w:w="1400"/>
            <w:tcBorders>
              <w:top w:val="single" w:color="0B1F3A" w:sz="4"/>
              <w:left w:val="single" w:color="0B1F3A" w:sz="4"/>
              <w:bottom w:val="single" w:color="0B1F3A" w:sz="4"/>
              <w:right w:val="single" w:color="0B1F3A" w:sz="4"/>
            </w:tcBorders>
            <w:shd w:fill="0B1F3A" w:val="clear"/>
            <w:tcMar>
              <w:top w:type="dxa" w:w="100"/>
              <w:left w:type="dxa" w:w="140"/>
              <w:bottom w:type="dxa" w:w="100"/>
              <w:right w:type="dxa" w:w="140"/>
            </w:tcMar>
            <w:vAlign w:val="center"/>
          </w:tcPr>
          <w:p>
            <w:r>
              <w:rPr>
                <w:rFonts w:ascii="Inter" w:cs="Inter" w:eastAsia="Inter" w:hAnsi="Inter"/>
                <w:b/>
                <w:bCs/>
                <w:color w:val="FFFFFF"/>
                <w:sz w:val="20"/>
                <w:szCs w:val="20"/>
              </w:rPr>
              <w:t xml:space="preserve">Per call (4 min)</w:t>
            </w:r>
          </w:p>
        </w:tc>
        <w:tc>
          <w:tcPr>
            <w:tcW w:type="dxa" w:w="2960"/>
            <w:tcBorders>
              <w:top w:val="single" w:color="0B1F3A" w:sz="4"/>
              <w:left w:val="single" w:color="0B1F3A" w:sz="4"/>
              <w:bottom w:val="single" w:color="0B1F3A" w:sz="4"/>
              <w:right w:val="single" w:color="0B1F3A" w:sz="4"/>
            </w:tcBorders>
            <w:shd w:fill="0B1F3A" w:val="clear"/>
            <w:tcMar>
              <w:top w:type="dxa" w:w="100"/>
              <w:left w:type="dxa" w:w="140"/>
              <w:bottom w:type="dxa" w:w="100"/>
              <w:right w:type="dxa" w:w="140"/>
            </w:tcMar>
            <w:vAlign w:val="center"/>
          </w:tcPr>
          <w:p>
            <w:r>
              <w:rPr>
                <w:rFonts w:ascii="Inter" w:cs="Inter" w:eastAsia="Inter" w:hAnsi="Inter"/>
                <w:b/>
                <w:bCs/>
                <w:color w:val="FFFFFF"/>
                <w:sz w:val="20"/>
                <w:szCs w:val="20"/>
              </w:rPr>
              <w:t xml:space="preserve">Notes</w:t>
            </w:r>
          </w:p>
        </w:tc>
      </w:tr>
      <w:tr>
        <w:tc>
          <w:tcPr>
            <w:tcW w:type="dxa" w:w="220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Telephony · Exotel inbound</w:t>
            </w:r>
          </w:p>
        </w:tc>
        <w:tc>
          <w:tcPr>
            <w:tcW w:type="dxa" w:w="140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per minute</w:t>
            </w:r>
          </w:p>
        </w:tc>
        <w:tc>
          <w:tcPr>
            <w:tcW w:type="dxa" w:w="140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₹0.50</w:t>
            </w:r>
          </w:p>
        </w:tc>
        <w:tc>
          <w:tcPr>
            <w:tcW w:type="dxa" w:w="140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₹2.00</w:t>
            </w:r>
          </w:p>
        </w:tc>
        <w:tc>
          <w:tcPr>
            <w:tcW w:type="dxa" w:w="296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Includes IVR + recording + masking</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Transcription · Deepgram Nova-2</w:t>
            </w:r>
          </w:p>
        </w:tc>
        <w:tc>
          <w:tcPr>
            <w:tcW w:type="dxa" w:w="14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per minute</w:t>
            </w:r>
          </w:p>
        </w:tc>
        <w:tc>
          <w:tcPr>
            <w:tcW w:type="dxa" w:w="14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₹0.36</w:t>
            </w:r>
          </w:p>
        </w:tc>
        <w:tc>
          <w:tcPr>
            <w:tcW w:type="dxa" w:w="14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₹1.44</w:t>
            </w:r>
          </w:p>
        </w:tc>
        <w:tc>
          <w:tcPr>
            <w:tcW w:type="dxa" w:w="29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$0.0043/min · industry-leading WER on Indic</w:t>
            </w:r>
          </w:p>
        </w:tc>
      </w:tr>
      <w:tr>
        <w:tc>
          <w:tcPr>
            <w:tcW w:type="dxa" w:w="220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LLM · Haiku (classification)</w:t>
            </w:r>
          </w:p>
        </w:tc>
        <w:tc>
          <w:tcPr>
            <w:tcW w:type="dxa" w:w="140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per call</w:t>
            </w:r>
          </w:p>
        </w:tc>
        <w:tc>
          <w:tcPr>
            <w:tcW w:type="dxa" w:w="140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~₹0.05</w:t>
            </w:r>
          </w:p>
        </w:tc>
        <w:tc>
          <w:tcPr>
            <w:tcW w:type="dxa" w:w="140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₹0.05</w:t>
            </w:r>
          </w:p>
        </w:tc>
        <w:tc>
          <w:tcPr>
            <w:tcW w:type="dxa" w:w="296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Sentiment + intent + language detect · ~1.3K tokens</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LLM · Sonnet (rubric judge)</w:t>
            </w:r>
          </w:p>
        </w:tc>
        <w:tc>
          <w:tcPr>
            <w:tcW w:type="dxa" w:w="14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per call</w:t>
            </w:r>
          </w:p>
        </w:tc>
        <w:tc>
          <w:tcPr>
            <w:tcW w:type="dxa" w:w="14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~₹3.27</w:t>
            </w:r>
          </w:p>
        </w:tc>
        <w:tc>
          <w:tcPr>
            <w:tcW w:type="dxa" w:w="14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₹3.27</w:t>
            </w:r>
          </w:p>
        </w:tc>
        <w:tc>
          <w:tcPr>
            <w:tcW w:type="dxa" w:w="29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~5K tokens · structured output with evidence spans</w:t>
            </w:r>
          </w:p>
        </w:tc>
      </w:tr>
      <w:tr>
        <w:tc>
          <w:tcPr>
            <w:tcW w:type="dxa" w:w="220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Storage · S3 + KMS</w:t>
            </w:r>
          </w:p>
        </w:tc>
        <w:tc>
          <w:tcPr>
            <w:tcW w:type="dxa" w:w="140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per call/mo</w:t>
            </w:r>
          </w:p>
        </w:tc>
        <w:tc>
          <w:tcPr>
            <w:tcW w:type="dxa" w:w="140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~₹0.01</w:t>
            </w:r>
          </w:p>
        </w:tc>
        <w:tc>
          <w:tcPr>
            <w:tcW w:type="dxa" w:w="140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₹0.01</w:t>
            </w:r>
          </w:p>
        </w:tc>
        <w:tc>
          <w:tcPr>
            <w:tcW w:type="dxa" w:w="296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4-min mono MP3 ≈ 3.8 MB · 90-day retention</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20" w:before="20"/>
            </w:pPr>
            <w:r>
              <w:rPr>
                <w:rFonts w:ascii="Inter" w:cs="Inter" w:eastAsia="Inter" w:hAnsi="Inter"/>
                <w:b/>
                <w:bCs/>
                <w:color w:val="1F2937"/>
                <w:sz w:val="20"/>
                <w:szCs w:val="20"/>
              </w:rPr>
              <w:t xml:space="preserve">TOTAL · per call</w:t>
            </w:r>
          </w:p>
        </w:tc>
        <w:tc>
          <w:tcPr>
            <w:tcW w:type="dxa" w:w="14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
            </w:r>
          </w:p>
        </w:tc>
        <w:tc>
          <w:tcPr>
            <w:tcW w:type="dxa" w:w="14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
            </w:r>
          </w:p>
        </w:tc>
        <w:tc>
          <w:tcPr>
            <w:tcW w:type="dxa" w:w="14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20" w:before="20"/>
            </w:pPr>
            <w:r>
              <w:rPr>
                <w:rFonts w:ascii="Inter" w:cs="Inter" w:eastAsia="Inter" w:hAnsi="Inter"/>
                <w:b/>
                <w:bCs/>
                <w:color w:val="0d9488"/>
                <w:sz w:val="20"/>
                <w:szCs w:val="20"/>
              </w:rPr>
              <w:t xml:space="preserve">₹6.77</w:t>
            </w:r>
          </w:p>
        </w:tc>
        <w:tc>
          <w:tcPr>
            <w:tcW w:type="dxa" w:w="29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Excludes monthly DID rental</w:t>
            </w:r>
          </w:p>
        </w:tc>
      </w:tr>
      <w:tr>
        <w:tc>
          <w:tcPr>
            <w:tcW w:type="dxa" w:w="220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20" w:before="20"/>
            </w:pPr>
            <w:r>
              <w:rPr>
                <w:rFonts w:ascii="Inter" w:cs="Inter" w:eastAsia="Inter" w:hAnsi="Inter"/>
                <w:b/>
                <w:bCs/>
                <w:color w:val="1F2937"/>
                <w:sz w:val="20"/>
                <w:szCs w:val="20"/>
              </w:rPr>
              <w:t xml:space="preserve">Monthly fixed (DID + base)</w:t>
            </w:r>
          </w:p>
        </w:tc>
        <w:tc>
          <w:tcPr>
            <w:tcW w:type="dxa" w:w="140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per month</w:t>
            </w:r>
          </w:p>
        </w:tc>
        <w:tc>
          <w:tcPr>
            <w:tcW w:type="dxa" w:w="140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₹500</w:t>
            </w:r>
          </w:p>
        </w:tc>
        <w:tc>
          <w:tcPr>
            <w:tcW w:type="dxa" w:w="140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w:t>
            </w:r>
          </w:p>
        </w:tc>
        <w:tc>
          <w:tcPr>
            <w:tcW w:type="dxa" w:w="296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Per Exotel number</w:t>
            </w:r>
          </w:p>
        </w:tc>
      </w:tr>
    </w:tbl>
    <w:p>
      <w:pPr>
        <w:spacing w:after="200"/>
      </w:pPr>
      <w:r>
        <w:t xml:space="preserve"/>
      </w:r>
    </w:p>
    <w:p>
      <w:pPr>
        <w:pStyle w:val="Heading2"/>
        <w:spacing w:after="140" w:before="280"/>
      </w:pPr>
      <w:r>
        <w:rPr>
          <w:rFonts w:ascii="Inter" w:cs="Inter" w:eastAsia="Inter" w:hAnsi="Inter"/>
          <w:b/>
          <w:bCs/>
          <w:color w:val="163458"/>
          <w:sz w:val="30"/>
          <w:szCs w:val="30"/>
        </w:rPr>
        <w:t xml:space="preserve">4.2  Efficient stack — Plivo + Whisper + Haiku-only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400"/>
        <w:gridCol w:w="2960"/>
      </w:tblGrid>
      <w:tr>
        <w:trPr>
          <w:tblHeader/>
        </w:trPr>
        <w:tc>
          <w:tcPr>
            <w:tcW w:type="dxa" w:w="2200"/>
            <w:tcBorders>
              <w:top w:val="single" w:color="0B1F3A" w:sz="4"/>
              <w:left w:val="single" w:color="0B1F3A" w:sz="4"/>
              <w:bottom w:val="single" w:color="0B1F3A" w:sz="4"/>
              <w:right w:val="single" w:color="0B1F3A" w:sz="4"/>
            </w:tcBorders>
            <w:shd w:fill="0B1F3A" w:val="clear"/>
            <w:tcMar>
              <w:top w:type="dxa" w:w="100"/>
              <w:left w:type="dxa" w:w="140"/>
              <w:bottom w:type="dxa" w:w="100"/>
              <w:right w:type="dxa" w:w="140"/>
            </w:tcMar>
            <w:vAlign w:val="center"/>
          </w:tcPr>
          <w:p>
            <w:r>
              <w:rPr>
                <w:rFonts w:ascii="Inter" w:cs="Inter" w:eastAsia="Inter" w:hAnsi="Inter"/>
                <w:b/>
                <w:bCs/>
                <w:color w:val="FFFFFF"/>
                <w:sz w:val="20"/>
                <w:szCs w:val="20"/>
              </w:rPr>
              <w:t xml:space="preserve">Component</w:t>
            </w:r>
          </w:p>
        </w:tc>
        <w:tc>
          <w:tcPr>
            <w:tcW w:type="dxa" w:w="1400"/>
            <w:tcBorders>
              <w:top w:val="single" w:color="0B1F3A" w:sz="4"/>
              <w:left w:val="single" w:color="0B1F3A" w:sz="4"/>
              <w:bottom w:val="single" w:color="0B1F3A" w:sz="4"/>
              <w:right w:val="single" w:color="0B1F3A" w:sz="4"/>
            </w:tcBorders>
            <w:shd w:fill="0B1F3A" w:val="clear"/>
            <w:tcMar>
              <w:top w:type="dxa" w:w="100"/>
              <w:left w:type="dxa" w:w="140"/>
              <w:bottom w:type="dxa" w:w="100"/>
              <w:right w:type="dxa" w:w="140"/>
            </w:tcMar>
            <w:vAlign w:val="center"/>
          </w:tcPr>
          <w:p>
            <w:r>
              <w:rPr>
                <w:rFonts w:ascii="Inter" w:cs="Inter" w:eastAsia="Inter" w:hAnsi="Inter"/>
                <w:b/>
                <w:bCs/>
                <w:color w:val="FFFFFF"/>
                <w:sz w:val="20"/>
                <w:szCs w:val="20"/>
              </w:rPr>
              <w:t xml:space="preserve">Unit</w:t>
            </w:r>
          </w:p>
        </w:tc>
        <w:tc>
          <w:tcPr>
            <w:tcW w:type="dxa" w:w="1400"/>
            <w:tcBorders>
              <w:top w:val="single" w:color="0B1F3A" w:sz="4"/>
              <w:left w:val="single" w:color="0B1F3A" w:sz="4"/>
              <w:bottom w:val="single" w:color="0B1F3A" w:sz="4"/>
              <w:right w:val="single" w:color="0B1F3A" w:sz="4"/>
            </w:tcBorders>
            <w:shd w:fill="0B1F3A" w:val="clear"/>
            <w:tcMar>
              <w:top w:type="dxa" w:w="100"/>
              <w:left w:type="dxa" w:w="140"/>
              <w:bottom w:type="dxa" w:w="100"/>
              <w:right w:type="dxa" w:w="140"/>
            </w:tcMar>
            <w:vAlign w:val="center"/>
          </w:tcPr>
          <w:p>
            <w:r>
              <w:rPr>
                <w:rFonts w:ascii="Inter" w:cs="Inter" w:eastAsia="Inter" w:hAnsi="Inter"/>
                <w:b/>
                <w:bCs/>
                <w:color w:val="FFFFFF"/>
                <w:sz w:val="20"/>
                <w:szCs w:val="20"/>
              </w:rPr>
              <w:t xml:space="preserve">Rate</w:t>
            </w:r>
          </w:p>
        </w:tc>
        <w:tc>
          <w:tcPr>
            <w:tcW w:type="dxa" w:w="1400"/>
            <w:tcBorders>
              <w:top w:val="single" w:color="0B1F3A" w:sz="4"/>
              <w:left w:val="single" w:color="0B1F3A" w:sz="4"/>
              <w:bottom w:val="single" w:color="0B1F3A" w:sz="4"/>
              <w:right w:val="single" w:color="0B1F3A" w:sz="4"/>
            </w:tcBorders>
            <w:shd w:fill="0B1F3A" w:val="clear"/>
            <w:tcMar>
              <w:top w:type="dxa" w:w="100"/>
              <w:left w:type="dxa" w:w="140"/>
              <w:bottom w:type="dxa" w:w="100"/>
              <w:right w:type="dxa" w:w="140"/>
            </w:tcMar>
            <w:vAlign w:val="center"/>
          </w:tcPr>
          <w:p>
            <w:r>
              <w:rPr>
                <w:rFonts w:ascii="Inter" w:cs="Inter" w:eastAsia="Inter" w:hAnsi="Inter"/>
                <w:b/>
                <w:bCs/>
                <w:color w:val="FFFFFF"/>
                <w:sz w:val="20"/>
                <w:szCs w:val="20"/>
              </w:rPr>
              <w:t xml:space="preserve">Per call (4 min)</w:t>
            </w:r>
          </w:p>
        </w:tc>
        <w:tc>
          <w:tcPr>
            <w:tcW w:type="dxa" w:w="2960"/>
            <w:tcBorders>
              <w:top w:val="single" w:color="0B1F3A" w:sz="4"/>
              <w:left w:val="single" w:color="0B1F3A" w:sz="4"/>
              <w:bottom w:val="single" w:color="0B1F3A" w:sz="4"/>
              <w:right w:val="single" w:color="0B1F3A" w:sz="4"/>
            </w:tcBorders>
            <w:shd w:fill="0B1F3A" w:val="clear"/>
            <w:tcMar>
              <w:top w:type="dxa" w:w="100"/>
              <w:left w:type="dxa" w:w="140"/>
              <w:bottom w:type="dxa" w:w="100"/>
              <w:right w:type="dxa" w:w="140"/>
            </w:tcMar>
            <w:vAlign w:val="center"/>
          </w:tcPr>
          <w:p>
            <w:r>
              <w:rPr>
                <w:rFonts w:ascii="Inter" w:cs="Inter" w:eastAsia="Inter" w:hAnsi="Inter"/>
                <w:b/>
                <w:bCs/>
                <w:color w:val="FFFFFF"/>
                <w:sz w:val="20"/>
                <w:szCs w:val="20"/>
              </w:rPr>
              <w:t xml:space="preserve">Notes</w:t>
            </w:r>
          </w:p>
        </w:tc>
      </w:tr>
      <w:tr>
        <w:tc>
          <w:tcPr>
            <w:tcW w:type="dxa" w:w="220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Telephony · Plivo India inbound</w:t>
            </w:r>
          </w:p>
        </w:tc>
        <w:tc>
          <w:tcPr>
            <w:tcW w:type="dxa" w:w="140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per minute</w:t>
            </w:r>
          </w:p>
        </w:tc>
        <w:tc>
          <w:tcPr>
            <w:tcW w:type="dxa" w:w="140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₹0.46</w:t>
            </w:r>
          </w:p>
        </w:tc>
        <w:tc>
          <w:tcPr>
            <w:tcW w:type="dxa" w:w="140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₹1.84</w:t>
            </w:r>
          </w:p>
        </w:tc>
        <w:tc>
          <w:tcPr>
            <w:tcW w:type="dxa" w:w="296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$0.0055/min</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Transcription · Whisper self-hosted</w:t>
            </w:r>
          </w:p>
        </w:tc>
        <w:tc>
          <w:tcPr>
            <w:tcW w:type="dxa" w:w="14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per minute</w:t>
            </w:r>
          </w:p>
        </w:tc>
        <w:tc>
          <w:tcPr>
            <w:tcW w:type="dxa" w:w="14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₹0.20</w:t>
            </w:r>
          </w:p>
        </w:tc>
        <w:tc>
          <w:tcPr>
            <w:tcW w:type="dxa" w:w="14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₹0.80</w:t>
            </w:r>
          </w:p>
        </w:tc>
        <w:tc>
          <w:tcPr>
            <w:tcW w:type="dxa" w:w="29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Amortised GPU + electricity on Whisper Large v3</w:t>
            </w:r>
          </w:p>
        </w:tc>
      </w:tr>
      <w:tr>
        <w:tc>
          <w:tcPr>
            <w:tcW w:type="dxa" w:w="220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LLM · Haiku (everything)</w:t>
            </w:r>
          </w:p>
        </w:tc>
        <w:tc>
          <w:tcPr>
            <w:tcW w:type="dxa" w:w="140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per call</w:t>
            </w:r>
          </w:p>
        </w:tc>
        <w:tc>
          <w:tcPr>
            <w:tcW w:type="dxa" w:w="140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~₹0.30</w:t>
            </w:r>
          </w:p>
        </w:tc>
        <w:tc>
          <w:tcPr>
            <w:tcW w:type="dxa" w:w="140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₹0.30</w:t>
            </w:r>
          </w:p>
        </w:tc>
        <w:tc>
          <w:tcPr>
            <w:tcW w:type="dxa" w:w="296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Sentiment + intent + lightweight rubric scoring</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Storage · S3 + KMS</w:t>
            </w:r>
          </w:p>
        </w:tc>
        <w:tc>
          <w:tcPr>
            <w:tcW w:type="dxa" w:w="14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per call/mo</w:t>
            </w:r>
          </w:p>
        </w:tc>
        <w:tc>
          <w:tcPr>
            <w:tcW w:type="dxa" w:w="14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~₹0.01</w:t>
            </w:r>
          </w:p>
        </w:tc>
        <w:tc>
          <w:tcPr>
            <w:tcW w:type="dxa" w:w="14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₹0.01</w:t>
            </w:r>
          </w:p>
        </w:tc>
        <w:tc>
          <w:tcPr>
            <w:tcW w:type="dxa" w:w="29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Same as premium</w:t>
            </w:r>
          </w:p>
        </w:tc>
      </w:tr>
      <w:tr>
        <w:tc>
          <w:tcPr>
            <w:tcW w:type="dxa" w:w="220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20" w:before="20"/>
            </w:pPr>
            <w:r>
              <w:rPr>
                <w:rFonts w:ascii="Inter" w:cs="Inter" w:eastAsia="Inter" w:hAnsi="Inter"/>
                <w:b/>
                <w:bCs/>
                <w:color w:val="1F2937"/>
                <w:sz w:val="20"/>
                <w:szCs w:val="20"/>
              </w:rPr>
              <w:t xml:space="preserve">TOTAL · per call</w:t>
            </w:r>
          </w:p>
        </w:tc>
        <w:tc>
          <w:tcPr>
            <w:tcW w:type="dxa" w:w="140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
            </w:r>
          </w:p>
        </w:tc>
        <w:tc>
          <w:tcPr>
            <w:tcW w:type="dxa" w:w="140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
            </w:r>
          </w:p>
        </w:tc>
        <w:tc>
          <w:tcPr>
            <w:tcW w:type="dxa" w:w="140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20" w:before="20"/>
            </w:pPr>
            <w:r>
              <w:rPr>
                <w:rFonts w:ascii="Inter" w:cs="Inter" w:eastAsia="Inter" w:hAnsi="Inter"/>
                <w:b/>
                <w:bCs/>
                <w:color w:val="0d9488"/>
                <w:sz w:val="20"/>
                <w:szCs w:val="20"/>
              </w:rPr>
              <w:t xml:space="preserve">₹2.95</w:t>
            </w:r>
          </w:p>
        </w:tc>
        <w:tc>
          <w:tcPr>
            <w:tcW w:type="dxa" w:w="296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Excludes monthly DID rental</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20" w:before="20"/>
            </w:pPr>
            <w:r>
              <w:rPr>
                <w:rFonts w:ascii="Inter" w:cs="Inter" w:eastAsia="Inter" w:hAnsi="Inter"/>
                <w:b/>
                <w:bCs/>
                <w:color w:val="1F2937"/>
                <w:sz w:val="20"/>
                <w:szCs w:val="20"/>
              </w:rPr>
              <w:t xml:space="preserve">Monthly fixed (DID + base)</w:t>
            </w:r>
          </w:p>
        </w:tc>
        <w:tc>
          <w:tcPr>
            <w:tcW w:type="dxa" w:w="14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per month</w:t>
            </w:r>
          </w:p>
        </w:tc>
        <w:tc>
          <w:tcPr>
            <w:tcW w:type="dxa" w:w="14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₹250</w:t>
            </w:r>
          </w:p>
        </w:tc>
        <w:tc>
          <w:tcPr>
            <w:tcW w:type="dxa" w:w="14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w:t>
            </w:r>
          </w:p>
        </w:tc>
        <w:tc>
          <w:tcPr>
            <w:tcW w:type="dxa" w:w="29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Per Plivo Indian number</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4"/>
              <w:left w:val="single" w:color="0d9488" w:sz="24"/>
              <w:bottom w:val="single" w:color="0d9488" w:sz="4"/>
              <w:right w:val="single" w:color="0d9488" w:sz="4"/>
            </w:tcBorders>
            <w:shd w:fill="CCFBF1" w:val="clear"/>
            <w:tcMar>
              <w:top w:type="dxa" w:w="160"/>
              <w:left w:type="dxa" w:w="220"/>
              <w:bottom w:type="dxa" w:w="160"/>
              <w:right w:type="dxa" w:w="220"/>
            </w:tcMar>
          </w:tcPr>
          <w:p>
            <w:pPr>
              <w:spacing w:after="60"/>
            </w:pPr>
            <w:r>
              <w:rPr>
                <w:rFonts w:ascii="Inter" w:cs="Inter" w:eastAsia="Inter" w:hAnsi="Inter"/>
                <w:b/>
                <w:bCs/>
                <w:color w:val="0d9488"/>
                <w:sz w:val="22"/>
                <w:szCs w:val="22"/>
              </w:rPr>
              <w:t xml:space="preserve">HYBRID — The hybrid we recommend</w:t>
            </w:r>
          </w:p>
          <w:p>
            <w:pPr>
              <w:spacing w:after="40"/>
            </w:pPr>
            <w:r>
              <w:rPr>
                <w:rFonts w:ascii="Inter" w:cs="Inter" w:eastAsia="Inter" w:hAnsi="Inter"/>
                <w:color w:val="1F2937"/>
                <w:sz w:val="21"/>
                <w:szCs w:val="21"/>
              </w:rPr>
              <w:t xml:space="preserve">Default: Haiku on every call for sentiment + intent + the 9 yes/no rubric criteria.</w:t>
            </w:r>
          </w:p>
          <w:p>
            <w:pPr>
              <w:spacing w:after="40"/>
            </w:pPr>
            <w:r>
              <w:rPr>
                <w:rFonts w:ascii="Inter" w:cs="Inter" w:eastAsia="Inter" w:hAnsi="Inter"/>
                <w:color w:val="1F2937"/>
                <w:sz w:val="21"/>
                <w:szCs w:val="21"/>
              </w:rPr>
              <w:t xml:space="preserve">Sonnet only on calls where Haiku confidence &lt; 0.78 OR criterion C8 (tone, the most subjective) needs adjudication.</w:t>
            </w:r>
          </w:p>
          <w:p>
            <w:pPr>
              <w:spacing w:after="40"/>
            </w:pPr>
            <w:r>
              <w:rPr>
                <w:rFonts w:ascii="Inter" w:cs="Inter" w:eastAsia="Inter" w:hAnsi="Inter"/>
                <w:color w:val="1F2937"/>
                <w:sz w:val="21"/>
                <w:szCs w:val="21"/>
              </w:rPr>
              <w:t xml:space="preserve">Practical hit rate: ~22% of calls get Sonnet. Average per-call LLM cost falls from ₹3.32 → ₹0.85.</w:t>
            </w:r>
          </w:p>
          <w:p>
            <w:pPr>
              <w:spacing w:after="40"/>
            </w:pPr>
            <w:r>
              <w:rPr>
                <w:rFonts w:ascii="Inter" w:cs="Inter" w:eastAsia="Inter" w:hAnsi="Inter"/>
                <w:color w:val="1F2937"/>
                <w:sz w:val="21"/>
                <w:szCs w:val="21"/>
              </w:rPr>
              <w:t xml:space="preserve">Hybrid total per call: ₹4.30. That's the sweet spot for the SMB tier.</w:t>
            </w:r>
          </w:p>
        </w:tc>
      </w:tr>
    </w:tbl>
    <w:p>
      <w:r>
        <w:br w:type="page"/>
      </w:r>
    </w:p>
    <w:p>
      <w:pPr>
        <w:pStyle w:val="Heading1"/>
        <w:spacing w:after="200" w:before="360"/>
      </w:pPr>
      <w:r>
        <w:rPr>
          <w:rFonts w:ascii="Inter" w:cs="Inter" w:eastAsia="Inter" w:hAnsi="Inter"/>
          <w:b/>
          <w:bCs/>
          <w:color w:val="0B1F3A"/>
          <w:sz w:val="40"/>
          <w:szCs w:val="40"/>
        </w:rPr>
        <w:t xml:space="preserve">5.  Volume Scenarios</w:t>
      </w:r>
    </w:p>
    <w:p>
      <w:r>
        <w:rPr>
          <w:rFonts w:ascii="Inter" w:cs="Inter" w:eastAsia="Inter" w:hAnsi="Inter"/>
          <w:color w:val="1F2937"/>
          <w:sz w:val="22"/>
          <w:szCs w:val="22"/>
        </w:rPr>
        <w:t xml:space="preserve">Three SMB profiles cover the bulk of the early HAIP customer base. All assume 4-minute average call duration and 30 working days per month.</w:t>
      </w:r>
    </w:p>
    <w:p>
      <w:pPr>
        <w:spacing w:after="120"/>
      </w:pPr>
      <w:r>
        <w:t xml:space="preserve"/>
      </w:r>
    </w:p>
    <w:p>
      <w:pPr>
        <w:pStyle w:val="Heading2"/>
        <w:spacing w:after="140" w:before="280"/>
      </w:pPr>
      <w:r>
        <w:rPr>
          <w:rFonts w:ascii="Inter" w:cs="Inter" w:eastAsia="Inter" w:hAnsi="Inter"/>
          <w:b/>
          <w:bCs/>
          <w:color w:val="163458"/>
          <w:sz w:val="30"/>
          <w:szCs w:val="30"/>
        </w:rPr>
        <w:t xml:space="preserve">5.1  Monthly cost per profile · all stacks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1500"/>
        <w:gridCol w:w="1500"/>
        <w:gridCol w:w="1160"/>
      </w:tblGrid>
      <w:tr>
        <w:trPr>
          <w:tblHeader/>
        </w:trPr>
        <w:tc>
          <w:tcPr>
            <w:tcW w:type="dxa" w:w="2200"/>
            <w:tcBorders>
              <w:top w:val="single" w:color="0B1F3A" w:sz="4"/>
              <w:left w:val="single" w:color="0B1F3A" w:sz="4"/>
              <w:bottom w:val="single" w:color="0B1F3A" w:sz="4"/>
              <w:right w:val="single" w:color="0B1F3A" w:sz="4"/>
            </w:tcBorders>
            <w:shd w:fill="0B1F3A" w:val="clear"/>
            <w:tcMar>
              <w:top w:type="dxa" w:w="100"/>
              <w:left w:type="dxa" w:w="140"/>
              <w:bottom w:type="dxa" w:w="100"/>
              <w:right w:type="dxa" w:w="140"/>
            </w:tcMar>
            <w:vAlign w:val="center"/>
          </w:tcPr>
          <w:p>
            <w:r>
              <w:rPr>
                <w:rFonts w:ascii="Inter" w:cs="Inter" w:eastAsia="Inter" w:hAnsi="Inter"/>
                <w:b/>
                <w:bCs/>
                <w:color w:val="FFFFFF"/>
                <w:sz w:val="20"/>
                <w:szCs w:val="20"/>
              </w:rPr>
              <w:t xml:space="preserve">Profile</w:t>
            </w:r>
          </w:p>
        </w:tc>
        <w:tc>
          <w:tcPr>
            <w:tcW w:type="dxa" w:w="1500"/>
            <w:tcBorders>
              <w:top w:val="single" w:color="0B1F3A" w:sz="4"/>
              <w:left w:val="single" w:color="0B1F3A" w:sz="4"/>
              <w:bottom w:val="single" w:color="0B1F3A" w:sz="4"/>
              <w:right w:val="single" w:color="0B1F3A" w:sz="4"/>
            </w:tcBorders>
            <w:shd w:fill="0B1F3A" w:val="clear"/>
            <w:tcMar>
              <w:top w:type="dxa" w:w="100"/>
              <w:left w:type="dxa" w:w="140"/>
              <w:bottom w:type="dxa" w:w="100"/>
              <w:right w:type="dxa" w:w="140"/>
            </w:tcMar>
            <w:vAlign w:val="center"/>
          </w:tcPr>
          <w:p>
            <w:r>
              <w:rPr>
                <w:rFonts w:ascii="Inter" w:cs="Inter" w:eastAsia="Inter" w:hAnsi="Inter"/>
                <w:b/>
                <w:bCs/>
                <w:color w:val="FFFFFF"/>
                <w:sz w:val="20"/>
                <w:szCs w:val="20"/>
              </w:rPr>
              <w:t xml:space="preserve">Calls / mo</w:t>
            </w:r>
          </w:p>
        </w:tc>
        <w:tc>
          <w:tcPr>
            <w:tcW w:type="dxa" w:w="1500"/>
            <w:tcBorders>
              <w:top w:val="single" w:color="0B1F3A" w:sz="4"/>
              <w:left w:val="single" w:color="0B1F3A" w:sz="4"/>
              <w:bottom w:val="single" w:color="0B1F3A" w:sz="4"/>
              <w:right w:val="single" w:color="0B1F3A" w:sz="4"/>
            </w:tcBorders>
            <w:shd w:fill="0B1F3A" w:val="clear"/>
            <w:tcMar>
              <w:top w:type="dxa" w:w="100"/>
              <w:left w:type="dxa" w:w="140"/>
              <w:bottom w:type="dxa" w:w="100"/>
              <w:right w:type="dxa" w:w="140"/>
            </w:tcMar>
            <w:vAlign w:val="center"/>
          </w:tcPr>
          <w:p>
            <w:r>
              <w:rPr>
                <w:rFonts w:ascii="Inter" w:cs="Inter" w:eastAsia="Inter" w:hAnsi="Inter"/>
                <w:b/>
                <w:bCs/>
                <w:color w:val="FFFFFF"/>
                <w:sz w:val="20"/>
                <w:szCs w:val="20"/>
              </w:rPr>
              <w:t xml:space="preserve">Premium stack</w:t>
            </w:r>
          </w:p>
        </w:tc>
        <w:tc>
          <w:tcPr>
            <w:tcW w:type="dxa" w:w="1500"/>
            <w:tcBorders>
              <w:top w:val="single" w:color="0B1F3A" w:sz="4"/>
              <w:left w:val="single" w:color="0B1F3A" w:sz="4"/>
              <w:bottom w:val="single" w:color="0B1F3A" w:sz="4"/>
              <w:right w:val="single" w:color="0B1F3A" w:sz="4"/>
            </w:tcBorders>
            <w:shd w:fill="0B1F3A" w:val="clear"/>
            <w:tcMar>
              <w:top w:type="dxa" w:w="100"/>
              <w:left w:type="dxa" w:w="140"/>
              <w:bottom w:type="dxa" w:w="100"/>
              <w:right w:type="dxa" w:w="140"/>
            </w:tcMar>
            <w:vAlign w:val="center"/>
          </w:tcPr>
          <w:p>
            <w:r>
              <w:rPr>
                <w:rFonts w:ascii="Inter" w:cs="Inter" w:eastAsia="Inter" w:hAnsi="Inter"/>
                <w:b/>
                <w:bCs/>
                <w:color w:val="FFFFFF"/>
                <w:sz w:val="20"/>
                <w:szCs w:val="20"/>
              </w:rPr>
              <w:t xml:space="preserve">Hybrid (rec.)</w:t>
            </w:r>
          </w:p>
        </w:tc>
        <w:tc>
          <w:tcPr>
            <w:tcW w:type="dxa" w:w="1500"/>
            <w:tcBorders>
              <w:top w:val="single" w:color="0B1F3A" w:sz="4"/>
              <w:left w:val="single" w:color="0B1F3A" w:sz="4"/>
              <w:bottom w:val="single" w:color="0B1F3A" w:sz="4"/>
              <w:right w:val="single" w:color="0B1F3A" w:sz="4"/>
            </w:tcBorders>
            <w:shd w:fill="0B1F3A" w:val="clear"/>
            <w:tcMar>
              <w:top w:type="dxa" w:w="100"/>
              <w:left w:type="dxa" w:w="140"/>
              <w:bottom w:type="dxa" w:w="100"/>
              <w:right w:type="dxa" w:w="140"/>
            </w:tcMar>
            <w:vAlign w:val="center"/>
          </w:tcPr>
          <w:p>
            <w:r>
              <w:rPr>
                <w:rFonts w:ascii="Inter" w:cs="Inter" w:eastAsia="Inter" w:hAnsi="Inter"/>
                <w:b/>
                <w:bCs/>
                <w:color w:val="FFFFFF"/>
                <w:sz w:val="20"/>
                <w:szCs w:val="20"/>
              </w:rPr>
              <w:t xml:space="preserve">Efficient stack</w:t>
            </w:r>
          </w:p>
        </w:tc>
        <w:tc>
          <w:tcPr>
            <w:tcW w:type="dxa" w:w="1160"/>
            <w:tcBorders>
              <w:top w:val="single" w:color="0B1F3A" w:sz="4"/>
              <w:left w:val="single" w:color="0B1F3A" w:sz="4"/>
              <w:bottom w:val="single" w:color="0B1F3A" w:sz="4"/>
              <w:right w:val="single" w:color="0B1F3A" w:sz="4"/>
            </w:tcBorders>
            <w:shd w:fill="0B1F3A" w:val="clear"/>
            <w:tcMar>
              <w:top w:type="dxa" w:w="100"/>
              <w:left w:type="dxa" w:w="140"/>
              <w:bottom w:type="dxa" w:w="100"/>
              <w:right w:type="dxa" w:w="140"/>
            </w:tcMar>
            <w:vAlign w:val="center"/>
          </w:tcPr>
          <w:p>
            <w:r>
              <w:rPr>
                <w:rFonts w:ascii="Inter" w:cs="Inter" w:eastAsia="Inter" w:hAnsi="Inter"/>
                <w:b/>
                <w:bCs/>
                <w:color w:val="FFFFFF"/>
                <w:sz w:val="20"/>
                <w:szCs w:val="20"/>
              </w:rPr>
              <w:t xml:space="preserve">Best for</w:t>
            </w:r>
          </w:p>
        </w:tc>
      </w:tr>
      <w:tr>
        <w:tc>
          <w:tcPr>
            <w:tcW w:type="dxa" w:w="220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20" w:before="20"/>
            </w:pPr>
            <w:r>
              <w:rPr>
                <w:rFonts w:ascii="Inter" w:cs="Inter" w:eastAsia="Inter" w:hAnsi="Inter"/>
                <w:b/>
                <w:bCs/>
                <w:color w:val="1F2937"/>
                <w:sz w:val="20"/>
                <w:szCs w:val="20"/>
              </w:rPr>
              <w:t xml:space="preserve">Single-villa starter</w:t>
            </w:r>
          </w:p>
          <w:p>
            <w:pPr>
              <w:spacing w:after="20" w:before="20"/>
            </w:pPr>
            <w:r>
              <w:rPr>
                <w:rFonts w:ascii="Inter" w:cs="Inter" w:eastAsia="Inter" w:hAnsi="Inter"/>
                <w:b/>
                <w:bCs/>
                <w:color w:val="1F2937"/>
                <w:sz w:val="20"/>
                <w:szCs w:val="20"/>
              </w:rPr>
              <w:t xml:space="preserve">20 calls/day</w:t>
            </w:r>
          </w:p>
        </w:tc>
        <w:tc>
          <w:tcPr>
            <w:tcW w:type="dxa" w:w="150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600</w:t>
            </w:r>
          </w:p>
        </w:tc>
        <w:tc>
          <w:tcPr>
            <w:tcW w:type="dxa" w:w="150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₹4,562</w:t>
            </w:r>
          </w:p>
        </w:tc>
        <w:tc>
          <w:tcPr>
            <w:tcW w:type="dxa" w:w="150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20" w:before="20"/>
            </w:pPr>
            <w:r>
              <w:rPr>
                <w:rFonts w:ascii="Inter" w:cs="Inter" w:eastAsia="Inter" w:hAnsi="Inter"/>
                <w:b/>
                <w:bCs/>
                <w:color w:val="0d9488"/>
                <w:sz w:val="20"/>
                <w:szCs w:val="20"/>
              </w:rPr>
              <w:t xml:space="preserve">₹3,080</w:t>
            </w:r>
          </w:p>
        </w:tc>
        <w:tc>
          <w:tcPr>
            <w:tcW w:type="dxa" w:w="150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₹2,020</w:t>
            </w:r>
          </w:p>
        </w:tc>
        <w:tc>
          <w:tcPr>
            <w:tcW w:type="dxa" w:w="116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Solo villa owner</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20" w:before="20"/>
            </w:pPr>
            <w:r>
              <w:rPr>
                <w:rFonts w:ascii="Inter" w:cs="Inter" w:eastAsia="Inter" w:hAnsi="Inter"/>
                <w:b/>
                <w:bCs/>
                <w:color w:val="1F2937"/>
                <w:sz w:val="20"/>
                <w:szCs w:val="20"/>
              </w:rPr>
              <w:t xml:space="preserve">Boutique hotel · 8 keys</w:t>
            </w:r>
          </w:p>
          <w:p>
            <w:pPr>
              <w:spacing w:after="20" w:before="20"/>
            </w:pPr>
            <w:r>
              <w:rPr>
                <w:rFonts w:ascii="Inter" w:cs="Inter" w:eastAsia="Inter" w:hAnsi="Inter"/>
                <w:b/>
                <w:bCs/>
                <w:color w:val="1F2937"/>
                <w:sz w:val="20"/>
                <w:szCs w:val="20"/>
              </w:rPr>
              <w:t xml:space="preserve">50 calls/day</w:t>
            </w:r>
          </w:p>
        </w:tc>
        <w:tc>
          <w:tcPr>
            <w:tcW w:type="dxa" w:w="15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1,500</w:t>
            </w:r>
          </w:p>
        </w:tc>
        <w:tc>
          <w:tcPr>
            <w:tcW w:type="dxa" w:w="15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₹10,655</w:t>
            </w:r>
          </w:p>
        </w:tc>
        <w:tc>
          <w:tcPr>
            <w:tcW w:type="dxa" w:w="15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20" w:before="20"/>
            </w:pPr>
            <w:r>
              <w:rPr>
                <w:rFonts w:ascii="Inter" w:cs="Inter" w:eastAsia="Inter" w:hAnsi="Inter"/>
                <w:b/>
                <w:bCs/>
                <w:color w:val="0d9488"/>
                <w:sz w:val="20"/>
                <w:szCs w:val="20"/>
              </w:rPr>
              <w:t xml:space="preserve">₹6,950</w:t>
            </w:r>
          </w:p>
        </w:tc>
        <w:tc>
          <w:tcPr>
            <w:tcW w:type="dxa" w:w="15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₹4,675</w:t>
            </w:r>
          </w:p>
        </w:tc>
        <w:tc>
          <w:tcPr>
            <w:tcW w:type="dxa" w:w="11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Mid-market</w:t>
            </w:r>
          </w:p>
        </w:tc>
      </w:tr>
      <w:tr>
        <w:tc>
          <w:tcPr>
            <w:tcW w:type="dxa" w:w="220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20" w:before="20"/>
            </w:pPr>
            <w:r>
              <w:rPr>
                <w:rFonts w:ascii="Inter" w:cs="Inter" w:eastAsia="Inter" w:hAnsi="Inter"/>
                <w:b/>
                <w:bCs/>
                <w:color w:val="1F2937"/>
                <w:sz w:val="20"/>
                <w:szCs w:val="20"/>
              </w:rPr>
              <w:t xml:space="preserve">Multi-villa estate</w:t>
            </w:r>
          </w:p>
          <w:p>
            <w:pPr>
              <w:spacing w:after="20" w:before="20"/>
            </w:pPr>
            <w:r>
              <w:rPr>
                <w:rFonts w:ascii="Inter" w:cs="Inter" w:eastAsia="Inter" w:hAnsi="Inter"/>
                <w:b/>
                <w:bCs/>
                <w:color w:val="1F2937"/>
                <w:sz w:val="20"/>
                <w:szCs w:val="20"/>
              </w:rPr>
              <w:t xml:space="preserve">100 calls/day</w:t>
            </w:r>
          </w:p>
        </w:tc>
        <w:tc>
          <w:tcPr>
            <w:tcW w:type="dxa" w:w="150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3,000</w:t>
            </w:r>
          </w:p>
        </w:tc>
        <w:tc>
          <w:tcPr>
            <w:tcW w:type="dxa" w:w="150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₹20,810</w:t>
            </w:r>
          </w:p>
        </w:tc>
        <w:tc>
          <w:tcPr>
            <w:tcW w:type="dxa" w:w="150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20" w:before="20"/>
            </w:pPr>
            <w:r>
              <w:rPr>
                <w:rFonts w:ascii="Inter" w:cs="Inter" w:eastAsia="Inter" w:hAnsi="Inter"/>
                <w:b/>
                <w:bCs/>
                <w:color w:val="0d9488"/>
                <w:sz w:val="20"/>
                <w:szCs w:val="20"/>
              </w:rPr>
              <w:t xml:space="preserve">₹13,400</w:t>
            </w:r>
          </w:p>
        </w:tc>
        <w:tc>
          <w:tcPr>
            <w:tcW w:type="dxa" w:w="150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₹9,100</w:t>
            </w:r>
          </w:p>
        </w:tc>
        <w:tc>
          <w:tcPr>
            <w:tcW w:type="dxa" w:w="116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Growing operator</w:t>
            </w:r>
          </w:p>
        </w:tc>
      </w:tr>
    </w:tbl>
    <w:p>
      <w:pPr>
        <w:spacing w:after="200"/>
      </w:pPr>
      <w:r>
        <w:t xml:space="preserve"/>
      </w:r>
    </w:p>
    <w:p>
      <w:pPr>
        <w:pStyle w:val="Heading2"/>
        <w:spacing w:after="140" w:before="280"/>
      </w:pPr>
      <w:r>
        <w:rPr>
          <w:rFonts w:ascii="Inter" w:cs="Inter" w:eastAsia="Inter" w:hAnsi="Inter"/>
          <w:b/>
          <w:bCs/>
          <w:color w:val="163458"/>
          <w:sz w:val="30"/>
          <w:szCs w:val="30"/>
        </w:rPr>
        <w:t xml:space="preserve">5.2  What this means for HAIP pricing tiers</w:t>
      </w:r>
    </w:p>
    <w:p>
      <w:r>
        <w:rPr>
          <w:rFonts w:ascii="Inter" w:cs="Inter" w:eastAsia="Inter" w:hAnsi="Inter"/>
          <w:color w:val="1F2937"/>
          <w:sz w:val="22"/>
          <w:szCs w:val="22"/>
        </w:rPr>
        <w:t xml:space="preserve">If we use the Hybrid stack (Haiku-default + Sonnet-on-edge-cases) and price tiers per the PRD, the unit-economic margins look like: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700"/>
        <w:gridCol w:w="1700"/>
        <w:gridCol w:w="1300"/>
        <w:gridCol w:w="1360"/>
      </w:tblGrid>
      <w:tr>
        <w:trPr>
          <w:tblHeader/>
        </w:trPr>
        <w:tc>
          <w:tcPr>
            <w:tcW w:type="dxa" w:w="1800"/>
            <w:tcBorders>
              <w:top w:val="single" w:color="0B1F3A" w:sz="4"/>
              <w:left w:val="single" w:color="0B1F3A" w:sz="4"/>
              <w:bottom w:val="single" w:color="0B1F3A" w:sz="4"/>
              <w:right w:val="single" w:color="0B1F3A" w:sz="4"/>
            </w:tcBorders>
            <w:shd w:fill="0B1F3A" w:val="clear"/>
            <w:tcMar>
              <w:top w:type="dxa" w:w="100"/>
              <w:left w:type="dxa" w:w="140"/>
              <w:bottom w:type="dxa" w:w="100"/>
              <w:right w:type="dxa" w:w="140"/>
            </w:tcMar>
            <w:vAlign w:val="center"/>
          </w:tcPr>
          <w:p>
            <w:r>
              <w:rPr>
                <w:rFonts w:ascii="Inter" w:cs="Inter" w:eastAsia="Inter" w:hAnsi="Inter"/>
                <w:b/>
                <w:bCs/>
                <w:color w:val="FFFFFF"/>
                <w:sz w:val="20"/>
                <w:szCs w:val="20"/>
              </w:rPr>
              <w:t xml:space="preserve">Tier</w:t>
            </w:r>
          </w:p>
        </w:tc>
        <w:tc>
          <w:tcPr>
            <w:tcW w:type="dxa" w:w="1500"/>
            <w:tcBorders>
              <w:top w:val="single" w:color="0B1F3A" w:sz="4"/>
              <w:left w:val="single" w:color="0B1F3A" w:sz="4"/>
              <w:bottom w:val="single" w:color="0B1F3A" w:sz="4"/>
              <w:right w:val="single" w:color="0B1F3A" w:sz="4"/>
            </w:tcBorders>
            <w:shd w:fill="0B1F3A" w:val="clear"/>
            <w:tcMar>
              <w:top w:type="dxa" w:w="100"/>
              <w:left w:type="dxa" w:w="140"/>
              <w:bottom w:type="dxa" w:w="100"/>
              <w:right w:type="dxa" w:w="140"/>
            </w:tcMar>
            <w:vAlign w:val="center"/>
          </w:tcPr>
          <w:p>
            <w:r>
              <w:rPr>
                <w:rFonts w:ascii="Inter" w:cs="Inter" w:eastAsia="Inter" w:hAnsi="Inter"/>
                <w:b/>
                <w:bCs/>
                <w:color w:val="FFFFFF"/>
                <w:sz w:val="20"/>
                <w:szCs w:val="20"/>
              </w:rPr>
              <w:t xml:space="preserve">Sticker price</w:t>
            </w:r>
          </w:p>
        </w:tc>
        <w:tc>
          <w:tcPr>
            <w:tcW w:type="dxa" w:w="1700"/>
            <w:tcBorders>
              <w:top w:val="single" w:color="0B1F3A" w:sz="4"/>
              <w:left w:val="single" w:color="0B1F3A" w:sz="4"/>
              <w:bottom w:val="single" w:color="0B1F3A" w:sz="4"/>
              <w:right w:val="single" w:color="0B1F3A" w:sz="4"/>
            </w:tcBorders>
            <w:shd w:fill="0B1F3A" w:val="clear"/>
            <w:tcMar>
              <w:top w:type="dxa" w:w="100"/>
              <w:left w:type="dxa" w:w="140"/>
              <w:bottom w:type="dxa" w:w="100"/>
              <w:right w:type="dxa" w:w="140"/>
            </w:tcMar>
            <w:vAlign w:val="center"/>
          </w:tcPr>
          <w:p>
            <w:r>
              <w:rPr>
                <w:rFonts w:ascii="Inter" w:cs="Inter" w:eastAsia="Inter" w:hAnsi="Inter"/>
                <w:b/>
                <w:bCs/>
                <w:color w:val="FFFFFF"/>
                <w:sz w:val="20"/>
                <w:szCs w:val="20"/>
              </w:rPr>
              <w:t xml:space="preserve">Calls/mo cap</w:t>
            </w:r>
          </w:p>
        </w:tc>
        <w:tc>
          <w:tcPr>
            <w:tcW w:type="dxa" w:w="1700"/>
            <w:tcBorders>
              <w:top w:val="single" w:color="0B1F3A" w:sz="4"/>
              <w:left w:val="single" w:color="0B1F3A" w:sz="4"/>
              <w:bottom w:val="single" w:color="0B1F3A" w:sz="4"/>
              <w:right w:val="single" w:color="0B1F3A" w:sz="4"/>
            </w:tcBorders>
            <w:shd w:fill="0B1F3A" w:val="clear"/>
            <w:tcMar>
              <w:top w:type="dxa" w:w="100"/>
              <w:left w:type="dxa" w:w="140"/>
              <w:bottom w:type="dxa" w:w="100"/>
              <w:right w:type="dxa" w:w="140"/>
            </w:tcMar>
            <w:vAlign w:val="center"/>
          </w:tcPr>
          <w:p>
            <w:r>
              <w:rPr>
                <w:rFonts w:ascii="Inter" w:cs="Inter" w:eastAsia="Inter" w:hAnsi="Inter"/>
                <w:b/>
                <w:bCs/>
                <w:color w:val="FFFFFF"/>
                <w:sz w:val="20"/>
                <w:szCs w:val="20"/>
              </w:rPr>
              <w:t xml:space="preserve">HAIP infra cost</w:t>
            </w:r>
          </w:p>
        </w:tc>
        <w:tc>
          <w:tcPr>
            <w:tcW w:type="dxa" w:w="1300"/>
            <w:tcBorders>
              <w:top w:val="single" w:color="0B1F3A" w:sz="4"/>
              <w:left w:val="single" w:color="0B1F3A" w:sz="4"/>
              <w:bottom w:val="single" w:color="0B1F3A" w:sz="4"/>
              <w:right w:val="single" w:color="0B1F3A" w:sz="4"/>
            </w:tcBorders>
            <w:shd w:fill="0B1F3A" w:val="clear"/>
            <w:tcMar>
              <w:top w:type="dxa" w:w="100"/>
              <w:left w:type="dxa" w:w="140"/>
              <w:bottom w:type="dxa" w:w="100"/>
              <w:right w:type="dxa" w:w="140"/>
            </w:tcMar>
            <w:vAlign w:val="center"/>
          </w:tcPr>
          <w:p>
            <w:r>
              <w:rPr>
                <w:rFonts w:ascii="Inter" w:cs="Inter" w:eastAsia="Inter" w:hAnsi="Inter"/>
                <w:b/>
                <w:bCs/>
                <w:color w:val="FFFFFF"/>
                <w:sz w:val="20"/>
                <w:szCs w:val="20"/>
              </w:rPr>
              <w:t xml:space="preserve">Margin</w:t>
            </w:r>
          </w:p>
        </w:tc>
        <w:tc>
          <w:tcPr>
            <w:tcW w:type="dxa" w:w="1360"/>
            <w:tcBorders>
              <w:top w:val="single" w:color="0B1F3A" w:sz="4"/>
              <w:left w:val="single" w:color="0B1F3A" w:sz="4"/>
              <w:bottom w:val="single" w:color="0B1F3A" w:sz="4"/>
              <w:right w:val="single" w:color="0B1F3A" w:sz="4"/>
            </w:tcBorders>
            <w:shd w:fill="0B1F3A" w:val="clear"/>
            <w:tcMar>
              <w:top w:type="dxa" w:w="100"/>
              <w:left w:type="dxa" w:w="140"/>
              <w:bottom w:type="dxa" w:w="100"/>
              <w:right w:type="dxa" w:w="140"/>
            </w:tcMar>
            <w:vAlign w:val="center"/>
          </w:tcPr>
          <w:p>
            <w:r>
              <w:rPr>
                <w:rFonts w:ascii="Inter" w:cs="Inter" w:eastAsia="Inter" w:hAnsi="Inter"/>
                <w:b/>
                <w:bCs/>
                <w:color w:val="FFFFFF"/>
                <w:sz w:val="20"/>
                <w:szCs w:val="20"/>
              </w:rPr>
              <w:t xml:space="preserve">Notes</w:t>
            </w:r>
          </w:p>
        </w:tc>
      </w:tr>
      <w:tr>
        <w:tc>
          <w:tcPr>
            <w:tcW w:type="dxa" w:w="180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20" w:before="20"/>
            </w:pPr>
            <w:r>
              <w:rPr>
                <w:rFonts w:ascii="Inter" w:cs="Inter" w:eastAsia="Inter" w:hAnsi="Inter"/>
                <w:b/>
                <w:bCs/>
                <w:color w:val="1F2937"/>
                <w:sz w:val="20"/>
                <w:szCs w:val="20"/>
              </w:rPr>
              <w:t xml:space="preserve">Starter</w:t>
            </w:r>
          </w:p>
        </w:tc>
        <w:tc>
          <w:tcPr>
            <w:tcW w:type="dxa" w:w="150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₹3,500</w:t>
            </w:r>
          </w:p>
        </w:tc>
        <w:tc>
          <w:tcPr>
            <w:tcW w:type="dxa" w:w="170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600</w:t>
            </w:r>
          </w:p>
        </w:tc>
        <w:tc>
          <w:tcPr>
            <w:tcW w:type="dxa" w:w="170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₹3,080</w:t>
            </w:r>
          </w:p>
        </w:tc>
        <w:tc>
          <w:tcPr>
            <w:tcW w:type="dxa" w:w="130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20" w:before="20"/>
            </w:pPr>
            <w:r>
              <w:rPr>
                <w:rFonts w:ascii="Inter" w:cs="Inter" w:eastAsia="Inter" w:hAnsi="Inter"/>
                <w:b w:val="false"/>
                <w:bCs w:val="false"/>
                <w:color w:val="92400E"/>
                <w:sz w:val="20"/>
                <w:szCs w:val="20"/>
              </w:rPr>
              <w:t xml:space="preserve">₹420 · 12%</w:t>
            </w:r>
          </w:p>
        </w:tc>
        <w:tc>
          <w:tcPr>
            <w:tcW w:type="dxa" w:w="136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Land tier · low margin · upsell to Growth</w:t>
            </w:r>
          </w:p>
        </w:tc>
      </w:tr>
      <w:tr>
        <w:tc>
          <w:tcPr>
            <w:tcW w:type="dxa" w:w="18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20" w:before="20"/>
            </w:pPr>
            <w:r>
              <w:rPr>
                <w:rFonts w:ascii="Inter" w:cs="Inter" w:eastAsia="Inter" w:hAnsi="Inter"/>
                <w:b/>
                <w:bCs/>
                <w:color w:val="1F2937"/>
                <w:sz w:val="20"/>
                <w:szCs w:val="20"/>
              </w:rPr>
              <w:t xml:space="preserve">Growth</w:t>
            </w:r>
          </w:p>
        </w:tc>
        <w:tc>
          <w:tcPr>
            <w:tcW w:type="dxa" w:w="15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₹14,900</w:t>
            </w:r>
          </w:p>
        </w:tc>
        <w:tc>
          <w:tcPr>
            <w:tcW w:type="dxa" w:w="17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5,000</w:t>
            </w:r>
          </w:p>
        </w:tc>
        <w:tc>
          <w:tcPr>
            <w:tcW w:type="dxa" w:w="17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₹11,800</w:t>
            </w:r>
          </w:p>
        </w:tc>
        <w:tc>
          <w:tcPr>
            <w:tcW w:type="dxa" w:w="13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20" w:before="20"/>
            </w:pPr>
            <w:r>
              <w:rPr>
                <w:rFonts w:ascii="Inter" w:cs="Inter" w:eastAsia="Inter" w:hAnsi="Inter"/>
                <w:b w:val="false"/>
                <w:bCs w:val="false"/>
                <w:color w:val="0d9488"/>
                <w:sz w:val="20"/>
                <w:szCs w:val="20"/>
              </w:rPr>
              <w:t xml:space="preserve">₹3,100 · 21%</w:t>
            </w:r>
          </w:p>
        </w:tc>
        <w:tc>
          <w:tcPr>
            <w:tcW w:type="dxa" w:w="13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Sweet spot for boutique hotels</w:t>
            </w:r>
          </w:p>
        </w:tc>
      </w:tr>
      <w:tr>
        <w:tc>
          <w:tcPr>
            <w:tcW w:type="dxa" w:w="180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20" w:before="20"/>
            </w:pPr>
            <w:r>
              <w:rPr>
                <w:rFonts w:ascii="Inter" w:cs="Inter" w:eastAsia="Inter" w:hAnsi="Inter"/>
                <w:b/>
                <w:bCs/>
                <w:color w:val="1F2937"/>
                <w:sz w:val="20"/>
                <w:szCs w:val="20"/>
              </w:rPr>
              <w:t xml:space="preserve">Scale</w:t>
            </w:r>
          </w:p>
        </w:tc>
        <w:tc>
          <w:tcPr>
            <w:tcW w:type="dxa" w:w="150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₹39,900</w:t>
            </w:r>
          </w:p>
        </w:tc>
        <w:tc>
          <w:tcPr>
            <w:tcW w:type="dxa" w:w="170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15,000</w:t>
            </w:r>
          </w:p>
        </w:tc>
        <w:tc>
          <w:tcPr>
            <w:tcW w:type="dxa" w:w="170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₹35,200</w:t>
            </w:r>
          </w:p>
        </w:tc>
        <w:tc>
          <w:tcPr>
            <w:tcW w:type="dxa" w:w="130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20" w:before="20"/>
            </w:pPr>
            <w:r>
              <w:rPr>
                <w:rFonts w:ascii="Inter" w:cs="Inter" w:eastAsia="Inter" w:hAnsi="Inter"/>
                <w:b w:val="false"/>
                <w:bCs w:val="false"/>
                <w:color w:val="92400E"/>
                <w:sz w:val="20"/>
                <w:szCs w:val="20"/>
              </w:rPr>
              <w:t xml:space="preserve">₹4,700 · 12%</w:t>
            </w:r>
          </w:p>
        </w:tc>
        <w:tc>
          <w:tcPr>
            <w:tcW w:type="dxa" w:w="136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Margin tightens — switch to Efficient stack here</w:t>
            </w:r>
          </w:p>
        </w:tc>
      </w:tr>
      <w:tr>
        <w:tc>
          <w:tcPr>
            <w:tcW w:type="dxa" w:w="18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20" w:before="20"/>
            </w:pPr>
            <w:r>
              <w:rPr>
                <w:rFonts w:ascii="Inter" w:cs="Inter" w:eastAsia="Inter" w:hAnsi="Inter"/>
                <w:b/>
                <w:bCs/>
                <w:color w:val="0d9488"/>
                <w:sz w:val="20"/>
                <w:szCs w:val="20"/>
              </w:rPr>
              <w:t xml:space="preserve">Scale (Efficient)</w:t>
            </w:r>
          </w:p>
        </w:tc>
        <w:tc>
          <w:tcPr>
            <w:tcW w:type="dxa" w:w="15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₹39,900</w:t>
            </w:r>
          </w:p>
        </w:tc>
        <w:tc>
          <w:tcPr>
            <w:tcW w:type="dxa" w:w="17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15,000</w:t>
            </w:r>
          </w:p>
        </w:tc>
        <w:tc>
          <w:tcPr>
            <w:tcW w:type="dxa" w:w="17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₹22,700</w:t>
            </w:r>
          </w:p>
        </w:tc>
        <w:tc>
          <w:tcPr>
            <w:tcW w:type="dxa" w:w="13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20" w:before="20"/>
            </w:pPr>
            <w:r>
              <w:rPr>
                <w:rFonts w:ascii="Inter" w:cs="Inter" w:eastAsia="Inter" w:hAnsi="Inter"/>
                <w:b/>
                <w:bCs/>
                <w:color w:val="047857"/>
                <w:sz w:val="20"/>
                <w:szCs w:val="20"/>
              </w:rPr>
              <w:t xml:space="preserve">₹17,200 · 43%</w:t>
            </w:r>
          </w:p>
        </w:tc>
        <w:tc>
          <w:tcPr>
            <w:tcW w:type="dxa" w:w="13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Whisper + Haiku-only for high volume</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5CF6" w:sz="4"/>
              <w:left w:val="single" w:color="8B5CF6" w:sz="24"/>
              <w:bottom w:val="single" w:color="8B5CF6" w:sz="4"/>
              <w:right w:val="single" w:color="8B5CF6" w:sz="4"/>
            </w:tcBorders>
            <w:shd w:fill="F3E8FF" w:val="clear"/>
            <w:tcMar>
              <w:top w:type="dxa" w:w="160"/>
              <w:left w:type="dxa" w:w="220"/>
              <w:bottom w:type="dxa" w:w="160"/>
              <w:right w:type="dxa" w:w="220"/>
            </w:tcMar>
          </w:tcPr>
          <w:p>
            <w:pPr>
              <w:spacing w:after="60"/>
            </w:pPr>
            <w:r>
              <w:rPr>
                <w:rFonts w:ascii="Inter" w:cs="Inter" w:eastAsia="Inter" w:hAnsi="Inter"/>
                <w:b/>
                <w:bCs/>
                <w:color w:val="8B5CF6"/>
                <w:sz w:val="22"/>
                <w:szCs w:val="22"/>
              </w:rPr>
              <w:t xml:space="preserve">STRATEGY — Margin strategy</w:t>
            </w:r>
          </w:p>
          <w:p>
            <w:pPr>
              <w:spacing w:after="40"/>
            </w:pPr>
            <w:r>
              <w:rPr>
                <w:rFonts w:ascii="Inter" w:cs="Inter" w:eastAsia="Inter" w:hAnsi="Inter"/>
                <w:color w:val="1F2937"/>
                <w:sz w:val="21"/>
                <w:szCs w:val="21"/>
              </w:rPr>
              <w:t xml:space="preserve">Starter (low volume) is a conversion vehicle, not a profit centre. Accept 12% margin to land logos.</w:t>
            </w:r>
          </w:p>
          <w:p>
            <w:pPr>
              <w:spacing w:after="40"/>
            </w:pPr>
            <w:r>
              <w:rPr>
                <w:rFonts w:ascii="Inter" w:cs="Inter" w:eastAsia="Inter" w:hAnsi="Inter"/>
                <w:color w:val="1F2937"/>
                <w:sz w:val="21"/>
                <w:szCs w:val="21"/>
              </w:rPr>
              <w:t xml:space="preserve">Growth captures the bulk — boutique hotels and mid-market villas with stable 50–80 calls/day. 21% margin at scale is healthy SaaS economics.</w:t>
            </w:r>
          </w:p>
          <w:p>
            <w:pPr>
              <w:spacing w:after="40"/>
            </w:pPr>
            <w:r>
              <w:rPr>
                <w:rFonts w:ascii="Inter" w:cs="Inter" w:eastAsia="Inter" w:hAnsi="Inter"/>
                <w:color w:val="1F2937"/>
                <w:sz w:val="21"/>
                <w:szCs w:val="21"/>
              </w:rPr>
              <w:t xml:space="preserve">Scale tier flips stack — Whisper self-hosted + Haiku-only — to keep margins above 40%. Do this transparently; ASR quality on Indic falls ~3 WER points but rubric agreement holds.</w:t>
            </w:r>
          </w:p>
          <w:p>
            <w:pPr>
              <w:spacing w:after="40"/>
            </w:pPr>
            <w:r>
              <w:rPr>
                <w:rFonts w:ascii="Inter" w:cs="Inter" w:eastAsia="Inter" w:hAnsi="Inter"/>
                <w:color w:val="1F2937"/>
                <w:sz w:val="21"/>
                <w:szCs w:val="21"/>
              </w:rPr>
              <w:t xml:space="preserve">Add-ons (live agent assist, predictive churn, M7 upsell engine) can each add ₹2K–₹5K/mo without proportional infra cost — that is where mature-tenant LTV expansion happens.</w:t>
            </w:r>
          </w:p>
        </w:tc>
      </w:tr>
    </w:tbl>
    <w:p>
      <w:r>
        <w:br w:type="page"/>
      </w:r>
    </w:p>
    <w:p>
      <w:pPr>
        <w:pStyle w:val="Heading1"/>
        <w:spacing w:after="200" w:before="360"/>
      </w:pPr>
      <w:r>
        <w:rPr>
          <w:rFonts w:ascii="Inter" w:cs="Inter" w:eastAsia="Inter" w:hAnsi="Inter"/>
          <w:b/>
          <w:bCs/>
          <w:color w:val="0B1F3A"/>
          <w:sz w:val="40"/>
          <w:szCs w:val="40"/>
        </w:rPr>
        <w:t xml:space="preserve">6.  Adapter-pattern Integration</w:t>
      </w:r>
    </w:p>
    <w:p>
      <w:r>
        <w:rPr>
          <w:rFonts w:ascii="Inter" w:cs="Inter" w:eastAsia="Inter" w:hAnsi="Inter"/>
          <w:color w:val="1F2937"/>
          <w:sz w:val="22"/>
          <w:szCs w:val="22"/>
        </w:rPr>
        <w:t xml:space="preserve">HAIP must support multiple telephony providers because (a) different tenants prefer different vendors, (b) we want to switch vendors based on regional cost without re-platforming, and (c) larger tenants will eventually demand BYOC ("bring your own carrier"). The right design pays for itself the first time we add a new provider.</w:t>
      </w:r>
    </w:p>
    <w:p>
      <w:pPr>
        <w:spacing w:after="120"/>
      </w:pPr>
      <w:r>
        <w:t xml:space="preserve"/>
      </w:r>
    </w:p>
    <w:p>
      <w:pPr>
        <w:pStyle w:val="Heading2"/>
        <w:spacing w:after="140" w:before="280"/>
      </w:pPr>
      <w:r>
        <w:rPr>
          <w:rFonts w:ascii="Inter" w:cs="Inter" w:eastAsia="Inter" w:hAnsi="Inter"/>
          <w:b/>
          <w:bCs/>
          <w:color w:val="163458"/>
          <w:sz w:val="30"/>
          <w:szCs w:val="30"/>
        </w:rPr>
        <w:t xml:space="preserve">6.1  The interface</w:t>
      </w:r>
    </w:p>
    <w:p>
      <w:r>
        <w:rPr>
          <w:rFonts w:ascii="Inter" w:cs="Inter" w:eastAsia="Inter" w:hAnsi="Inter"/>
          <w:color w:val="1F2937"/>
          <w:sz w:val="22"/>
          <w:szCs w:val="22"/>
        </w:rPr>
        <w:t xml:space="preserve">Define one TelephonyAdapter interface. Every provider (Exotel, Plivo, Knowlarity, Twilio, …) implements it. The rest of HAIP only knows the interface.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B1F3A" w:sz="4"/>
              <w:left w:val="single" w:color="0B1F3A" w:sz="4"/>
              <w:bottom w:val="single" w:color="0B1F3A" w:sz="4"/>
              <w:right w:val="single" w:color="0B1F3A" w:sz="4"/>
            </w:tcBorders>
            <w:shd w:fill="0B1F3A" w:val="clear"/>
            <w:tcMar>
              <w:top w:type="dxa" w:w="100"/>
              <w:left w:type="dxa" w:w="140"/>
              <w:bottom w:type="dxa" w:w="100"/>
              <w:right w:type="dxa" w:w="140"/>
            </w:tcMar>
            <w:vAlign w:val="center"/>
          </w:tcPr>
          <w:p>
            <w:r>
              <w:rPr>
                <w:rFonts w:ascii="Inter" w:cs="Inter" w:eastAsia="Inter" w:hAnsi="Inter"/>
                <w:b/>
                <w:bCs/>
                <w:color w:val="FFFFFF"/>
                <w:sz w:val="20"/>
                <w:szCs w:val="20"/>
              </w:rPr>
              <w:t xml:space="preserve">Method</w:t>
            </w:r>
          </w:p>
        </w:tc>
        <w:tc>
          <w:tcPr>
            <w:tcW w:type="dxa" w:w="6960"/>
            <w:tcBorders>
              <w:top w:val="single" w:color="0B1F3A" w:sz="4"/>
              <w:left w:val="single" w:color="0B1F3A" w:sz="4"/>
              <w:bottom w:val="single" w:color="0B1F3A" w:sz="4"/>
              <w:right w:val="single" w:color="0B1F3A" w:sz="4"/>
            </w:tcBorders>
            <w:shd w:fill="0B1F3A" w:val="clear"/>
            <w:tcMar>
              <w:top w:type="dxa" w:w="100"/>
              <w:left w:type="dxa" w:w="140"/>
              <w:bottom w:type="dxa" w:w="100"/>
              <w:right w:type="dxa" w:w="140"/>
            </w:tcMar>
            <w:vAlign w:val="center"/>
          </w:tcPr>
          <w:p>
            <w:r>
              <w:rPr>
                <w:rFonts w:ascii="Inter" w:cs="Inter" w:eastAsia="Inter" w:hAnsi="Inter"/>
                <w:b/>
                <w:bCs/>
                <w:color w:val="FFFFFF"/>
                <w:sz w:val="20"/>
                <w:szCs w:val="20"/>
              </w:rPr>
              <w:t xml:space="preserve">Contract</w:t>
            </w:r>
          </w:p>
        </w:tc>
      </w:tr>
      <w:tr>
        <w:tc>
          <w:tcPr>
            <w:tcW w:type="dxa" w:w="240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verify_webhook(headers, body) → bool</w:t>
            </w:r>
          </w:p>
        </w:tc>
        <w:tc>
          <w:tcPr>
            <w:tcW w:type="dxa" w:w="696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Check HMAC signature of an inbound webhook payload. Must reject malformed.</w:t>
            </w:r>
          </w:p>
        </w:tc>
      </w:tr>
      <w:tr>
        <w:tc>
          <w:tcPr>
            <w:tcW w:type="dxa" w:w="24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parse_call_event(body) → CallEvent</w:t>
            </w:r>
          </w:p>
        </w:tc>
        <w:tc>
          <w:tcPr>
            <w:tcW w:type="dxa" w:w="69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Normalise the provider's payload into the HAIP CallEvent shape (id, from, to, dir, duration, recording_url, agent_leg, language).</w:t>
            </w:r>
          </w:p>
        </w:tc>
      </w:tr>
      <w:tr>
        <w:tc>
          <w:tcPr>
            <w:tcW w:type="dxa" w:w="240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fetch_recording(call_id) → bytes</w:t>
            </w:r>
          </w:p>
        </w:tc>
        <w:tc>
          <w:tcPr>
            <w:tcW w:type="dxa" w:w="696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Download the recording from the provider's CDN, return raw bytes.</w:t>
            </w:r>
          </w:p>
        </w:tc>
      </w:tr>
      <w:tr>
        <w:tc>
          <w:tcPr>
            <w:tcW w:type="dxa" w:w="24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provision_did(tenant_id, region, opts) → DID</w:t>
            </w:r>
          </w:p>
        </w:tc>
        <w:tc>
          <w:tcPr>
            <w:tcW w:type="dxa" w:w="69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Create a new phone number in the provider, register the inbound webhook, return the E.164 number.</w:t>
            </w:r>
          </w:p>
        </w:tc>
      </w:tr>
      <w:tr>
        <w:tc>
          <w:tcPr>
            <w:tcW w:type="dxa" w:w="240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release_did(did_id) → void</w:t>
            </w:r>
          </w:p>
        </w:tc>
        <w:tc>
          <w:tcPr>
            <w:tcW w:type="dxa" w:w="696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Clean release of a number when a tenant churns.</w:t>
            </w:r>
          </w:p>
        </w:tc>
      </w:tr>
      <w:tr>
        <w:tc>
          <w:tcPr>
            <w:tcW w:type="dxa" w:w="24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click_to_call(from_agent, to_guest) → call_id</w:t>
            </w:r>
          </w:p>
        </w:tc>
        <w:tc>
          <w:tcPr>
            <w:tcW w:type="dxa" w:w="69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Outbound — used in V1.5 cockpit. Bridges agent and guest with masking.</w:t>
            </w:r>
          </w:p>
        </w:tc>
      </w:tr>
      <w:tr>
        <w:tc>
          <w:tcPr>
            <w:tcW w:type="dxa" w:w="240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send_dtmf(call_id, digits)</w:t>
            </w:r>
          </w:p>
        </w:tc>
        <w:tc>
          <w:tcPr>
            <w:tcW w:type="dxa" w:w="696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For programmatic IVR navigation if needed.</w:t>
            </w:r>
          </w:p>
        </w:tc>
      </w:tr>
      <w:tr>
        <w:tc>
          <w:tcPr>
            <w:tcW w:type="dxa" w:w="24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hang_up(call_id)</w:t>
            </w:r>
          </w:p>
        </w:tc>
        <w:tc>
          <w:tcPr>
            <w:tcW w:type="dxa" w:w="69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Force-end a call (rare — used for compliance auto-hangups).</w:t>
            </w:r>
          </w:p>
        </w:tc>
      </w:tr>
    </w:tbl>
    <w:p>
      <w:pPr>
        <w:spacing w:after="200"/>
      </w:pPr>
      <w:r>
        <w:t xml:space="preserve"/>
      </w:r>
    </w:p>
    <w:p>
      <w:pPr>
        <w:pStyle w:val="Heading2"/>
        <w:spacing w:after="140" w:before="280"/>
      </w:pPr>
      <w:r>
        <w:rPr>
          <w:rFonts w:ascii="Inter" w:cs="Inter" w:eastAsia="Inter" w:hAnsi="Inter"/>
          <w:b/>
          <w:bCs/>
          <w:color w:val="163458"/>
          <w:sz w:val="30"/>
          <w:szCs w:val="30"/>
        </w:rPr>
        <w:t xml:space="preserve">6.2  How a tenant onboards a provider</w:t>
      </w:r>
    </w:p>
    <w:p>
      <w:pPr>
        <w:pStyle w:val="ListParagraph"/>
        <w:numPr>
          <w:ilvl w:val="0"/>
          <w:numId w:val="3"/>
        </w:numPr>
        <w:spacing w:after="40" w:before="40"/>
      </w:pPr>
      <w:r>
        <w:rPr>
          <w:rFonts w:ascii="Inter" w:cs="Inter" w:eastAsia="Inter" w:hAnsi="Inter"/>
          <w:color w:val="1F2937"/>
          <w:sz w:val="22"/>
          <w:szCs w:val="22"/>
        </w:rPr>
        <w:t xml:space="preserve">Owner picks a provider from the Workspace → Integrations screen.</w:t>
      </w:r>
    </w:p>
    <w:p>
      <w:pPr>
        <w:pStyle w:val="ListParagraph"/>
        <w:numPr>
          <w:ilvl w:val="0"/>
          <w:numId w:val="3"/>
        </w:numPr>
        <w:spacing w:after="40" w:before="40"/>
      </w:pPr>
      <w:r>
        <w:rPr>
          <w:rFonts w:ascii="Inter" w:cs="Inter" w:eastAsia="Inter" w:hAnsi="Inter"/>
          <w:color w:val="1F2937"/>
          <w:sz w:val="22"/>
          <w:szCs w:val="22"/>
        </w:rPr>
        <w:t xml:space="preserve">Tenant pastes API credentials (account ID + auth token + signing key).</w:t>
      </w:r>
    </w:p>
    <w:p>
      <w:pPr>
        <w:pStyle w:val="ListParagraph"/>
        <w:numPr>
          <w:ilvl w:val="0"/>
          <w:numId w:val="3"/>
        </w:numPr>
        <w:spacing w:after="40" w:before="40"/>
      </w:pPr>
      <w:r>
        <w:rPr>
          <w:rFonts w:ascii="Inter" w:cs="Inter" w:eastAsia="Inter" w:hAnsi="Inter"/>
          <w:color w:val="1F2937"/>
          <w:sz w:val="22"/>
          <w:szCs w:val="22"/>
        </w:rPr>
        <w:t xml:space="preserve">HAIP runs verify_webhook against a known good payload from the provider — proves the signing key works.</w:t>
      </w:r>
    </w:p>
    <w:p>
      <w:pPr>
        <w:pStyle w:val="ListParagraph"/>
        <w:numPr>
          <w:ilvl w:val="0"/>
          <w:numId w:val="3"/>
        </w:numPr>
        <w:spacing w:after="40" w:before="40"/>
      </w:pPr>
      <w:r>
        <w:rPr>
          <w:rFonts w:ascii="Inter" w:cs="Inter" w:eastAsia="Inter" w:hAnsi="Inter"/>
          <w:color w:val="1F2937"/>
          <w:sz w:val="22"/>
          <w:szCs w:val="22"/>
        </w:rPr>
        <w:t xml:space="preserve">Tenant clicks "Provision number" — HAIP calls provision_did and registers a webhook to /wh/voice/{provider}.</w:t>
      </w:r>
    </w:p>
    <w:p>
      <w:pPr>
        <w:pStyle w:val="ListParagraph"/>
        <w:numPr>
          <w:ilvl w:val="0"/>
          <w:numId w:val="3"/>
        </w:numPr>
        <w:spacing w:after="40" w:before="40"/>
      </w:pPr>
      <w:r>
        <w:rPr>
          <w:rFonts w:ascii="Inter" w:cs="Inter" w:eastAsia="Inter" w:hAnsi="Inter"/>
          <w:color w:val="1F2937"/>
          <w:sz w:val="22"/>
          <w:szCs w:val="22"/>
        </w:rPr>
        <w:t xml:space="preserve">Synthetic test call dialled into the new number. Webhook fires → Call record created → recording fetched → transcription completes. End-to-end smoke test passes.</w:t>
      </w:r>
    </w:p>
    <w:p>
      <w:pPr>
        <w:pStyle w:val="ListParagraph"/>
        <w:numPr>
          <w:ilvl w:val="0"/>
          <w:numId w:val="3"/>
        </w:numPr>
        <w:spacing w:after="40" w:before="40"/>
      </w:pPr>
      <w:r>
        <w:rPr>
          <w:rFonts w:ascii="Inter" w:cs="Inter" w:eastAsia="Inter" w:hAnsi="Inter"/>
          <w:color w:val="1F2937"/>
          <w:sz w:val="22"/>
          <w:szCs w:val="22"/>
        </w:rPr>
        <w:t xml:space="preserve">Tenant is live on that provider. Switching later = repeat steps 1–5 with the new credentials.</w:t>
      </w:r>
    </w:p>
    <w:p>
      <w:pPr>
        <w:spacing w:after="200"/>
      </w:pPr>
      <w:r>
        <w:t xml:space="preserve"/>
      </w:r>
    </w:p>
    <w:p>
      <w:pPr>
        <w:pStyle w:val="Heading2"/>
        <w:spacing w:after="140" w:before="280"/>
      </w:pPr>
      <w:r>
        <w:rPr>
          <w:rFonts w:ascii="Inter" w:cs="Inter" w:eastAsia="Inter" w:hAnsi="Inter"/>
          <w:b/>
          <w:bCs/>
          <w:color w:val="163458"/>
          <w:sz w:val="30"/>
          <w:szCs w:val="30"/>
        </w:rPr>
        <w:t xml:space="preserve">6.3  Why adapter pattern saves us in year two</w:t>
      </w:r>
    </w:p>
    <w:p>
      <w:pPr>
        <w:pStyle w:val="ListParagraph"/>
        <w:numPr>
          <w:ilvl w:val="0"/>
          <w:numId w:val="2"/>
        </w:numPr>
        <w:spacing w:after="40" w:before="40"/>
      </w:pPr>
      <w:r>
        <w:rPr>
          <w:rFonts w:ascii="Inter" w:cs="Inter" w:eastAsia="Inter" w:hAnsi="Inter"/>
          <w:color w:val="1F2937"/>
          <w:sz w:val="22"/>
          <w:szCs w:val="22"/>
        </w:rPr>
        <w:t xml:space="preserve">When Exotel raises prices or has reliability issues, we switch to Plivo on a per-tenant basis without changing application code.</w:t>
      </w:r>
    </w:p>
    <w:p>
      <w:pPr>
        <w:pStyle w:val="ListParagraph"/>
        <w:numPr>
          <w:ilvl w:val="0"/>
          <w:numId w:val="2"/>
        </w:numPr>
        <w:spacing w:after="40" w:before="40"/>
      </w:pPr>
      <w:r>
        <w:rPr>
          <w:rFonts w:ascii="Inter" w:cs="Inter" w:eastAsia="Inter" w:hAnsi="Inter"/>
          <w:color w:val="1F2937"/>
          <w:sz w:val="22"/>
          <w:szCs w:val="22"/>
        </w:rPr>
        <w:t xml:space="preserve">When a US/SEA tenant signs up, we plug Twilio in behind the same adapter — same Call record shape, same QA pipeline, no new bugs.</w:t>
      </w:r>
    </w:p>
    <w:p>
      <w:pPr>
        <w:pStyle w:val="ListParagraph"/>
        <w:numPr>
          <w:ilvl w:val="0"/>
          <w:numId w:val="2"/>
        </w:numPr>
        <w:spacing w:after="40" w:before="40"/>
      </w:pPr>
      <w:r>
        <w:rPr>
          <w:rFonts w:ascii="Inter" w:cs="Inter" w:eastAsia="Inter" w:hAnsi="Inter"/>
          <w:color w:val="1F2937"/>
          <w:sz w:val="22"/>
          <w:szCs w:val="22"/>
        </w:rPr>
        <w:t xml:space="preserve">When a regulated client demands BYOC (their own SIP trunk + Asterisk), we implement one Asterisk adapter and they're live in days, not months.</w:t>
      </w:r>
    </w:p>
    <w:p>
      <w:pPr>
        <w:pStyle w:val="ListParagraph"/>
        <w:numPr>
          <w:ilvl w:val="0"/>
          <w:numId w:val="2"/>
        </w:numPr>
        <w:spacing w:after="40" w:before="40"/>
      </w:pPr>
      <w:r>
        <w:rPr>
          <w:rFonts w:ascii="Inter" w:cs="Inter" w:eastAsia="Inter" w:hAnsi="Inter"/>
          <w:color w:val="1F2937"/>
          <w:sz w:val="22"/>
          <w:szCs w:val="22"/>
        </w:rPr>
        <w:t xml:space="preserve">Per-tenant cost optimisation: a tenant on a cost-sensitive plan can be silently moved to Plivo, while a tenant on the white-glove plan stays on Exotel — same product UX.</w:t>
      </w:r>
    </w:p>
    <w:p>
      <w:r>
        <w:br w:type="page"/>
      </w:r>
    </w:p>
    <w:p>
      <w:pPr>
        <w:pStyle w:val="Heading1"/>
        <w:spacing w:after="200" w:before="360"/>
      </w:pPr>
      <w:r>
        <w:rPr>
          <w:rFonts w:ascii="Inter" w:cs="Inter" w:eastAsia="Inter" w:hAnsi="Inter"/>
          <w:b/>
          <w:bCs/>
          <w:color w:val="0B1F3A"/>
          <w:sz w:val="40"/>
          <w:szCs w:val="40"/>
        </w:rPr>
        <w:t xml:space="preserve">7.  4-Week Implementation Playbook</w:t>
      </w:r>
    </w:p>
    <w:p>
      <w:r>
        <w:rPr>
          <w:rFonts w:ascii="Inter" w:cs="Inter" w:eastAsia="Inter" w:hAnsi="Inter"/>
          <w:color w:val="1F2937"/>
          <w:sz w:val="22"/>
          <w:szCs w:val="22"/>
        </w:rPr>
        <w:t xml:space="preserve">This is the concrete week-by-week build order for the IVR module — what ships, who owns it, and the demo at the end of each week. Aligned with the engineering ticket plan tickets T1.9 → T8.9.</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4400"/>
        <w:gridCol w:w="2160"/>
      </w:tblGrid>
      <w:tr>
        <w:trPr>
          <w:tblHeader/>
        </w:trPr>
        <w:tc>
          <w:tcPr>
            <w:tcW w:type="dxa" w:w="800"/>
            <w:tcBorders>
              <w:top w:val="single" w:color="0B1F3A" w:sz="4"/>
              <w:left w:val="single" w:color="0B1F3A" w:sz="4"/>
              <w:bottom w:val="single" w:color="0B1F3A" w:sz="4"/>
              <w:right w:val="single" w:color="0B1F3A" w:sz="4"/>
            </w:tcBorders>
            <w:shd w:fill="0B1F3A" w:val="clear"/>
            <w:tcMar>
              <w:top w:type="dxa" w:w="100"/>
              <w:left w:type="dxa" w:w="140"/>
              <w:bottom w:type="dxa" w:w="100"/>
              <w:right w:type="dxa" w:w="140"/>
            </w:tcMar>
            <w:vAlign w:val="center"/>
          </w:tcPr>
          <w:p>
            <w:r>
              <w:rPr>
                <w:rFonts w:ascii="Inter" w:cs="Inter" w:eastAsia="Inter" w:hAnsi="Inter"/>
                <w:b/>
                <w:bCs/>
                <w:color w:val="FFFFFF"/>
                <w:sz w:val="20"/>
                <w:szCs w:val="20"/>
              </w:rPr>
              <w:t xml:space="preserve">Wk</w:t>
            </w:r>
          </w:p>
        </w:tc>
        <w:tc>
          <w:tcPr>
            <w:tcW w:type="dxa" w:w="2000"/>
            <w:tcBorders>
              <w:top w:val="single" w:color="0B1F3A" w:sz="4"/>
              <w:left w:val="single" w:color="0B1F3A" w:sz="4"/>
              <w:bottom w:val="single" w:color="0B1F3A" w:sz="4"/>
              <w:right w:val="single" w:color="0B1F3A" w:sz="4"/>
            </w:tcBorders>
            <w:shd w:fill="0B1F3A" w:val="clear"/>
            <w:tcMar>
              <w:top w:type="dxa" w:w="100"/>
              <w:left w:type="dxa" w:w="140"/>
              <w:bottom w:type="dxa" w:w="100"/>
              <w:right w:type="dxa" w:w="140"/>
            </w:tcMar>
            <w:vAlign w:val="center"/>
          </w:tcPr>
          <w:p>
            <w:r>
              <w:rPr>
                <w:rFonts w:ascii="Inter" w:cs="Inter" w:eastAsia="Inter" w:hAnsi="Inter"/>
                <w:b/>
                <w:bCs/>
                <w:color w:val="FFFFFF"/>
                <w:sz w:val="20"/>
                <w:szCs w:val="20"/>
              </w:rPr>
              <w:t xml:space="preserve">Theme</w:t>
            </w:r>
          </w:p>
        </w:tc>
        <w:tc>
          <w:tcPr>
            <w:tcW w:type="dxa" w:w="4400"/>
            <w:tcBorders>
              <w:top w:val="single" w:color="0B1F3A" w:sz="4"/>
              <w:left w:val="single" w:color="0B1F3A" w:sz="4"/>
              <w:bottom w:val="single" w:color="0B1F3A" w:sz="4"/>
              <w:right w:val="single" w:color="0B1F3A" w:sz="4"/>
            </w:tcBorders>
            <w:shd w:fill="0B1F3A" w:val="clear"/>
            <w:tcMar>
              <w:top w:type="dxa" w:w="100"/>
              <w:left w:type="dxa" w:w="140"/>
              <w:bottom w:type="dxa" w:w="100"/>
              <w:right w:type="dxa" w:w="140"/>
            </w:tcMar>
            <w:vAlign w:val="center"/>
          </w:tcPr>
          <w:p>
            <w:r>
              <w:rPr>
                <w:rFonts w:ascii="Inter" w:cs="Inter" w:eastAsia="Inter" w:hAnsi="Inter"/>
                <w:b/>
                <w:bCs/>
                <w:color w:val="FFFFFF"/>
                <w:sz w:val="20"/>
                <w:szCs w:val="20"/>
              </w:rPr>
              <w:t xml:space="preserve">What ships</w:t>
            </w:r>
          </w:p>
        </w:tc>
        <w:tc>
          <w:tcPr>
            <w:tcW w:type="dxa" w:w="2160"/>
            <w:tcBorders>
              <w:top w:val="single" w:color="0B1F3A" w:sz="4"/>
              <w:left w:val="single" w:color="0B1F3A" w:sz="4"/>
              <w:bottom w:val="single" w:color="0B1F3A" w:sz="4"/>
              <w:right w:val="single" w:color="0B1F3A" w:sz="4"/>
            </w:tcBorders>
            <w:shd w:fill="0B1F3A" w:val="clear"/>
            <w:tcMar>
              <w:top w:type="dxa" w:w="100"/>
              <w:left w:type="dxa" w:w="140"/>
              <w:bottom w:type="dxa" w:w="100"/>
              <w:right w:type="dxa" w:w="140"/>
            </w:tcMar>
            <w:vAlign w:val="center"/>
          </w:tcPr>
          <w:p>
            <w:r>
              <w:rPr>
                <w:rFonts w:ascii="Inter" w:cs="Inter" w:eastAsia="Inter" w:hAnsi="Inter"/>
                <w:b/>
                <w:bCs/>
                <w:color w:val="FFFFFF"/>
                <w:sz w:val="20"/>
                <w:szCs w:val="20"/>
              </w:rPr>
              <w:t xml:space="preserve">End-of-week demo</w:t>
            </w:r>
          </w:p>
        </w:tc>
      </w:tr>
      <w:tr>
        <w:tc>
          <w:tcPr>
            <w:tcW w:type="dxa" w:w="80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W1</w:t>
            </w:r>
          </w:p>
        </w:tc>
        <w:tc>
          <w:tcPr>
            <w:tcW w:type="dxa" w:w="200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20" w:before="20"/>
            </w:pPr>
            <w:r>
              <w:rPr>
                <w:rFonts w:ascii="Inter" w:cs="Inter" w:eastAsia="Inter" w:hAnsi="Inter"/>
                <w:b/>
                <w:bCs/>
                <w:color w:val="0d9488"/>
                <w:sz w:val="20"/>
                <w:szCs w:val="20"/>
              </w:rPr>
              <w:t xml:space="preserve">Vendor + IVR flow</w:t>
            </w:r>
          </w:p>
        </w:tc>
        <w:tc>
          <w:tcPr>
            <w:tcW w:type="dxa" w:w="440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Exotel KYC submitted (do this Day 1) · provision sandbox DID · IVR flow built in Exotel console (greeting + consent + EN/HI menu + routing) · webhook endpoint registered on staging · synthetic call fires our /wh/voice/exotel handler.</w:t>
            </w:r>
          </w:p>
        </w:tc>
        <w:tc>
          <w:tcPr>
            <w:tcW w:type="dxa" w:w="216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Live test call hits staging webhook with valid signature.</w:t>
            </w:r>
          </w:p>
        </w:tc>
      </w:tr>
      <w:tr>
        <w:tc>
          <w:tcPr>
            <w:tcW w:type="dxa" w:w="8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W2</w:t>
            </w:r>
          </w:p>
        </w:tc>
        <w:tc>
          <w:tcPr>
            <w:tcW w:type="dxa" w:w="20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20" w:before="20"/>
            </w:pPr>
            <w:r>
              <w:rPr>
                <w:rFonts w:ascii="Inter" w:cs="Inter" w:eastAsia="Inter" w:hAnsi="Inter"/>
                <w:b/>
                <w:bCs/>
                <w:color w:val="0d9488"/>
                <w:sz w:val="20"/>
                <w:szCs w:val="20"/>
              </w:rPr>
              <w:t xml:space="preserve">Ingestion pipeline</w:t>
            </w:r>
          </w:p>
        </w:tc>
        <w:tc>
          <w:tcPr>
            <w:tcW w:type="dxa" w:w="44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Webhook handler · signature verification · phone-based dedup · Guest upsert · Call record creation · Inquiry linking · S3 recording fetch with per-tenant KMS · idempotency on retry.</w:t>
            </w:r>
          </w:p>
        </w:tc>
        <w:tc>
          <w:tcPr>
            <w:tcW w:type="dxa" w:w="21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Real call → Call record created → recording stored in S3 in &lt;5 s.</w:t>
            </w:r>
          </w:p>
        </w:tc>
      </w:tr>
      <w:tr>
        <w:tc>
          <w:tcPr>
            <w:tcW w:type="dxa" w:w="80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W3</w:t>
            </w:r>
          </w:p>
        </w:tc>
        <w:tc>
          <w:tcPr>
            <w:tcW w:type="dxa" w:w="200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20" w:before="20"/>
            </w:pPr>
            <w:r>
              <w:rPr>
                <w:rFonts w:ascii="Inter" w:cs="Inter" w:eastAsia="Inter" w:hAnsi="Inter"/>
                <w:b/>
                <w:bCs/>
                <w:color w:val="0d9488"/>
                <w:sz w:val="20"/>
                <w:szCs w:val="20"/>
              </w:rPr>
              <w:t xml:space="preserve">Transcription + redaction</w:t>
            </w:r>
          </w:p>
        </w:tc>
        <w:tc>
          <w:tcPr>
            <w:tcW w:type="dxa" w:w="440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Deepgram Nova-2 production pipeline · Whisper self-hosted fallback · speaker diarisation · language detection (EN + HI + Hinglish) · PII redaction at L1 · transcript JSON storage with Postgres full-text + pgvector embeddings.</w:t>
            </w:r>
          </w:p>
        </w:tc>
        <w:tc>
          <w:tcPr>
            <w:tcW w:type="dxa" w:w="216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Sample call → searchable transcript visible in Inbox in &lt;60 s.</w:t>
            </w:r>
          </w:p>
        </w:tc>
      </w:tr>
      <w:tr>
        <w:tc>
          <w:tcPr>
            <w:tcW w:type="dxa" w:w="8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W4</w:t>
            </w:r>
          </w:p>
        </w:tc>
        <w:tc>
          <w:tcPr>
            <w:tcW w:type="dxa" w:w="20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20" w:before="20"/>
            </w:pPr>
            <w:r>
              <w:rPr>
                <w:rFonts w:ascii="Inter" w:cs="Inter" w:eastAsia="Inter" w:hAnsi="Inter"/>
                <w:b/>
                <w:bCs/>
                <w:color w:val="0d9488"/>
                <w:sz w:val="20"/>
                <w:szCs w:val="20"/>
              </w:rPr>
              <w:t xml:space="preserve">Scoring + UI</w:t>
            </w:r>
          </w:p>
        </w:tc>
        <w:tc>
          <w:tcPr>
            <w:tcW w:type="dxa" w:w="44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Hybrid LLM judge (Haiku-default + Sonnet-fallback) · 12-criterion rubric · evidence linking (transcript span + audio timestamp) · scorecard UI in QA workbench · concierge cockpit live transcript stub · auto-fail alerts to Compliance.</w:t>
            </w:r>
          </w:p>
        </w:tc>
        <w:tc>
          <w:tcPr>
            <w:tcW w:type="dxa" w:w="21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Real call → score with evidence in cockpit + workbench in &lt;90 s.</w:t>
            </w:r>
          </w:p>
        </w:tc>
      </w:tr>
    </w:tbl>
    <w:p>
      <w:pPr>
        <w:spacing w:after="200"/>
      </w:pPr>
      <w:r>
        <w:t xml:space="preserve"/>
      </w:r>
    </w:p>
    <w:p>
      <w:pPr>
        <w:pStyle w:val="Heading2"/>
        <w:spacing w:after="140" w:before="280"/>
      </w:pPr>
      <w:r>
        <w:rPr>
          <w:rFonts w:ascii="Inter" w:cs="Inter" w:eastAsia="Inter" w:hAnsi="Inter"/>
          <w:b/>
          <w:bCs/>
          <w:color w:val="163458"/>
          <w:sz w:val="30"/>
          <w:szCs w:val="30"/>
        </w:rPr>
        <w:t xml:space="preserve">7.1  Critical-path checklist for week 1</w:t>
      </w:r>
    </w:p>
    <w:p>
      <w:pPr>
        <w:pStyle w:val="ListParagraph"/>
        <w:numPr>
          <w:ilvl w:val="0"/>
          <w:numId w:val="2"/>
        </w:numPr>
        <w:spacing w:after="40" w:before="40"/>
      </w:pPr>
      <w:r>
        <w:rPr>
          <w:rFonts w:ascii="Inter" w:cs="Inter" w:eastAsia="Inter" w:hAnsi="Inter"/>
          <w:color w:val="1F2937"/>
          <w:sz w:val="22"/>
          <w:szCs w:val="22"/>
        </w:rPr>
        <w:t xml:space="preserve">Day 1: Exotel business verification submitted. KYC takes 3–7 working days; do not wait until Day 3.</w:t>
      </w:r>
    </w:p>
    <w:p>
      <w:pPr>
        <w:pStyle w:val="ListParagraph"/>
        <w:numPr>
          <w:ilvl w:val="0"/>
          <w:numId w:val="2"/>
        </w:numPr>
        <w:spacing w:after="40" w:before="40"/>
      </w:pPr>
      <w:r>
        <w:rPr>
          <w:rFonts w:ascii="Inter" w:cs="Inter" w:eastAsia="Inter" w:hAnsi="Inter"/>
          <w:color w:val="1F2937"/>
          <w:sz w:val="22"/>
          <w:szCs w:val="22"/>
        </w:rPr>
        <w:t xml:space="preserve">Day 1: Define the IVR flow on paper with reservations head — greeting copy, language menu, working hours, routing fallback. This becomes the brand voice anchor.</w:t>
      </w:r>
    </w:p>
    <w:p>
      <w:pPr>
        <w:pStyle w:val="ListParagraph"/>
        <w:numPr>
          <w:ilvl w:val="0"/>
          <w:numId w:val="2"/>
        </w:numPr>
        <w:spacing w:after="40" w:before="40"/>
      </w:pPr>
      <w:r>
        <w:rPr>
          <w:rFonts w:ascii="Inter" w:cs="Inter" w:eastAsia="Inter" w:hAnsi="Inter"/>
          <w:color w:val="1F2937"/>
          <w:sz w:val="22"/>
          <w:szCs w:val="22"/>
        </w:rPr>
        <w:t xml:space="preserve">Day 2: Provision sandbox DID + register staging webhook URL.</w:t>
      </w:r>
    </w:p>
    <w:p>
      <w:pPr>
        <w:pStyle w:val="ListParagraph"/>
        <w:numPr>
          <w:ilvl w:val="0"/>
          <w:numId w:val="2"/>
        </w:numPr>
        <w:spacing w:after="40" w:before="40"/>
      </w:pPr>
      <w:r>
        <w:rPr>
          <w:rFonts w:ascii="Inter" w:cs="Inter" w:eastAsia="Inter" w:hAnsi="Inter"/>
          <w:color w:val="1F2937"/>
          <w:sz w:val="22"/>
          <w:szCs w:val="22"/>
        </w:rPr>
        <w:t xml:space="preserve">Day 3: Test webhook end-to-end with Exotel's simulator — confirm payload shape and signing key work.</w:t>
      </w:r>
    </w:p>
    <w:p>
      <w:pPr>
        <w:pStyle w:val="ListParagraph"/>
        <w:numPr>
          <w:ilvl w:val="0"/>
          <w:numId w:val="2"/>
        </w:numPr>
        <w:spacing w:after="40" w:before="40"/>
      </w:pPr>
      <w:r>
        <w:rPr>
          <w:rFonts w:ascii="Inter" w:cs="Inter" w:eastAsia="Inter" w:hAnsi="Inter"/>
          <w:color w:val="1F2937"/>
          <w:sz w:val="22"/>
          <w:szCs w:val="22"/>
        </w:rPr>
        <w:t xml:space="preserve">Day 4: Decide masking policy — per-villa numbers vs single number with caller ID rewriting. Lock answer.</w:t>
      </w:r>
    </w:p>
    <w:p>
      <w:pPr>
        <w:pStyle w:val="ListParagraph"/>
        <w:numPr>
          <w:ilvl w:val="0"/>
          <w:numId w:val="2"/>
        </w:numPr>
        <w:spacing w:after="40" w:before="40"/>
      </w:pPr>
      <w:r>
        <w:rPr>
          <w:rFonts w:ascii="Inter" w:cs="Inter" w:eastAsia="Inter" w:hAnsi="Inter"/>
          <w:color w:val="1F2937"/>
          <w:sz w:val="22"/>
          <w:szCs w:val="22"/>
        </w:rPr>
        <w:t xml:space="preserve">Day 5: Working-hours table defined per estate (after-hours → voicemail with WhatsApp callback CTA).</w:t>
      </w:r>
    </w:p>
    <w:p>
      <w:pPr>
        <w:spacing w:after="200"/>
      </w:pPr>
      <w:r>
        <w:t xml:space="preserve"/>
      </w:r>
    </w:p>
    <w:p>
      <w:pPr>
        <w:pStyle w:val="Heading2"/>
        <w:spacing w:after="140" w:before="280"/>
      </w:pPr>
      <w:r>
        <w:rPr>
          <w:rFonts w:ascii="Inter" w:cs="Inter" w:eastAsia="Inter" w:hAnsi="Inter"/>
          <w:b/>
          <w:bCs/>
          <w:color w:val="163458"/>
          <w:sz w:val="30"/>
          <w:szCs w:val="30"/>
        </w:rPr>
        <w:t xml:space="preserve">7.2  Compliance gotchas to bake in early</w:t>
      </w:r>
    </w:p>
    <w:p>
      <w:pPr>
        <w:pStyle w:val="ListParagraph"/>
        <w:numPr>
          <w:ilvl w:val="0"/>
          <w:numId w:val="2"/>
        </w:numPr>
        <w:spacing w:after="40" w:before="40"/>
      </w:pPr>
      <w:r>
        <w:rPr>
          <w:rFonts w:ascii="Inter" w:cs="Inter" w:eastAsia="Inter" w:hAnsi="Inter"/>
          <w:color w:val="1F2937"/>
          <w:sz w:val="22"/>
          <w:szCs w:val="22"/>
        </w:rPr>
        <w:t xml:space="preserve">Recording consent prompt at call start — "This call may be recorded for quality" — required by law in most Indian states.</w:t>
      </w:r>
    </w:p>
    <w:p>
      <w:pPr>
        <w:pStyle w:val="ListParagraph"/>
        <w:numPr>
          <w:ilvl w:val="0"/>
          <w:numId w:val="2"/>
        </w:numPr>
        <w:spacing w:after="40" w:before="40"/>
      </w:pPr>
      <w:r>
        <w:rPr>
          <w:rFonts w:ascii="Inter" w:cs="Inter" w:eastAsia="Inter" w:hAnsi="Inter"/>
          <w:color w:val="1F2937"/>
          <w:sz w:val="22"/>
          <w:szCs w:val="22"/>
        </w:rPr>
        <w:t xml:space="preserve">Outbound calls (V1.5+) require DLT registration of templates with Indian operators. Start the registration in week 1 even if outbound is V1.5.</w:t>
      </w:r>
    </w:p>
    <w:p>
      <w:pPr>
        <w:pStyle w:val="ListParagraph"/>
        <w:numPr>
          <w:ilvl w:val="0"/>
          <w:numId w:val="2"/>
        </w:numPr>
        <w:spacing w:after="40" w:before="40"/>
      </w:pPr>
      <w:r>
        <w:rPr>
          <w:rFonts w:ascii="Inter" w:cs="Inter" w:eastAsia="Inter" w:hAnsi="Inter"/>
          <w:color w:val="1F2937"/>
          <w:sz w:val="22"/>
          <w:szCs w:val="22"/>
        </w:rPr>
        <w:t xml:space="preserve">NDNC (national do-not-call) scrub before any outbound dial — Exotel handles this for you if you mark the campaign correctly.</w:t>
      </w:r>
    </w:p>
    <w:p>
      <w:pPr>
        <w:pStyle w:val="ListParagraph"/>
        <w:numPr>
          <w:ilvl w:val="0"/>
          <w:numId w:val="2"/>
        </w:numPr>
        <w:spacing w:after="40" w:before="40"/>
      </w:pPr>
      <w:r>
        <w:rPr>
          <w:rFonts w:ascii="Inter" w:cs="Inter" w:eastAsia="Inter" w:hAnsi="Inter"/>
          <w:color w:val="1F2937"/>
          <w:sz w:val="22"/>
          <w:szCs w:val="22"/>
        </w:rPr>
        <w:t xml:space="preserve">PII redaction must run before any data leaves L1 — including before the LLM sees the transcript.</w:t>
      </w:r>
    </w:p>
    <w:p>
      <w:pPr>
        <w:pStyle w:val="ListParagraph"/>
        <w:numPr>
          <w:ilvl w:val="0"/>
          <w:numId w:val="2"/>
        </w:numPr>
        <w:spacing w:after="40" w:before="40"/>
      </w:pPr>
      <w:r>
        <w:rPr>
          <w:rFonts w:ascii="Inter" w:cs="Inter" w:eastAsia="Inter" w:hAnsi="Inter"/>
          <w:color w:val="1F2937"/>
          <w:sz w:val="22"/>
          <w:szCs w:val="22"/>
        </w:rPr>
        <w:t xml:space="preserve">Per-tenant KMS keys for recording storage — required for the enterprise tier and DPDP-compliant by default.</w:t>
      </w:r>
    </w:p>
    <w:p>
      <w:pPr>
        <w:pStyle w:val="ListParagraph"/>
        <w:numPr>
          <w:ilvl w:val="0"/>
          <w:numId w:val="2"/>
        </w:numPr>
        <w:spacing w:after="40" w:before="40"/>
      </w:pPr>
      <w:r>
        <w:rPr>
          <w:rFonts w:ascii="Inter" w:cs="Inter" w:eastAsia="Inter" w:hAnsi="Inter"/>
          <w:color w:val="1F2937"/>
          <w:sz w:val="22"/>
          <w:szCs w:val="22"/>
        </w:rPr>
        <w:t xml:space="preserve">Audit log entry for every score, override, and export — hash-chained, append-only.</w:t>
      </w:r>
    </w:p>
    <w:p>
      <w:r>
        <w:br w:type="page"/>
      </w:r>
    </w:p>
    <w:p>
      <w:pPr>
        <w:pStyle w:val="Heading1"/>
        <w:spacing w:after="200" w:before="360"/>
      </w:pPr>
      <w:r>
        <w:rPr>
          <w:rFonts w:ascii="Inter" w:cs="Inter" w:eastAsia="Inter" w:hAnsi="Inter"/>
          <w:b/>
          <w:bCs/>
          <w:color w:val="0B1F3A"/>
          <w:sz w:val="40"/>
          <w:szCs w:val="40"/>
        </w:rPr>
        <w:t xml:space="preserve">8.  Risks &amp;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1300"/>
        <w:gridCol w:w="4360"/>
      </w:tblGrid>
      <w:tr>
        <w:trPr>
          <w:tblHeader/>
        </w:trPr>
        <w:tc>
          <w:tcPr>
            <w:tcW w:type="dxa" w:w="2400"/>
            <w:tcBorders>
              <w:top w:val="single" w:color="0B1F3A" w:sz="4"/>
              <w:left w:val="single" w:color="0B1F3A" w:sz="4"/>
              <w:bottom w:val="single" w:color="0B1F3A" w:sz="4"/>
              <w:right w:val="single" w:color="0B1F3A" w:sz="4"/>
            </w:tcBorders>
            <w:shd w:fill="0B1F3A" w:val="clear"/>
            <w:tcMar>
              <w:top w:type="dxa" w:w="100"/>
              <w:left w:type="dxa" w:w="140"/>
              <w:bottom w:type="dxa" w:w="100"/>
              <w:right w:type="dxa" w:w="140"/>
            </w:tcMar>
            <w:vAlign w:val="center"/>
          </w:tcPr>
          <w:p>
            <w:r>
              <w:rPr>
                <w:rFonts w:ascii="Inter" w:cs="Inter" w:eastAsia="Inter" w:hAnsi="Inter"/>
                <w:b/>
                <w:bCs/>
                <w:color w:val="FFFFFF"/>
                <w:sz w:val="20"/>
                <w:szCs w:val="20"/>
              </w:rPr>
              <w:t xml:space="preserve">Risk</w:t>
            </w:r>
          </w:p>
        </w:tc>
        <w:tc>
          <w:tcPr>
            <w:tcW w:type="dxa" w:w="1300"/>
            <w:tcBorders>
              <w:top w:val="single" w:color="0B1F3A" w:sz="4"/>
              <w:left w:val="single" w:color="0B1F3A" w:sz="4"/>
              <w:bottom w:val="single" w:color="0B1F3A" w:sz="4"/>
              <w:right w:val="single" w:color="0B1F3A" w:sz="4"/>
            </w:tcBorders>
            <w:shd w:fill="0B1F3A" w:val="clear"/>
            <w:tcMar>
              <w:top w:type="dxa" w:w="100"/>
              <w:left w:type="dxa" w:w="140"/>
              <w:bottom w:type="dxa" w:w="100"/>
              <w:right w:type="dxa" w:w="140"/>
            </w:tcMar>
            <w:vAlign w:val="center"/>
          </w:tcPr>
          <w:p>
            <w:r>
              <w:rPr>
                <w:rFonts w:ascii="Inter" w:cs="Inter" w:eastAsia="Inter" w:hAnsi="Inter"/>
                <w:b/>
                <w:bCs/>
                <w:color w:val="FFFFFF"/>
                <w:sz w:val="20"/>
                <w:szCs w:val="20"/>
              </w:rPr>
              <w:t xml:space="preserve">Likelihood</w:t>
            </w:r>
          </w:p>
        </w:tc>
        <w:tc>
          <w:tcPr>
            <w:tcW w:type="dxa" w:w="1300"/>
            <w:tcBorders>
              <w:top w:val="single" w:color="0B1F3A" w:sz="4"/>
              <w:left w:val="single" w:color="0B1F3A" w:sz="4"/>
              <w:bottom w:val="single" w:color="0B1F3A" w:sz="4"/>
              <w:right w:val="single" w:color="0B1F3A" w:sz="4"/>
            </w:tcBorders>
            <w:shd w:fill="0B1F3A" w:val="clear"/>
            <w:tcMar>
              <w:top w:type="dxa" w:w="100"/>
              <w:left w:type="dxa" w:w="140"/>
              <w:bottom w:type="dxa" w:w="100"/>
              <w:right w:type="dxa" w:w="140"/>
            </w:tcMar>
            <w:vAlign w:val="center"/>
          </w:tcPr>
          <w:p>
            <w:r>
              <w:rPr>
                <w:rFonts w:ascii="Inter" w:cs="Inter" w:eastAsia="Inter" w:hAnsi="Inter"/>
                <w:b/>
                <w:bCs/>
                <w:color w:val="FFFFFF"/>
                <w:sz w:val="20"/>
                <w:szCs w:val="20"/>
              </w:rPr>
              <w:t xml:space="preserve">Impact</w:t>
            </w:r>
          </w:p>
        </w:tc>
        <w:tc>
          <w:tcPr>
            <w:tcW w:type="dxa" w:w="4360"/>
            <w:tcBorders>
              <w:top w:val="single" w:color="0B1F3A" w:sz="4"/>
              <w:left w:val="single" w:color="0B1F3A" w:sz="4"/>
              <w:bottom w:val="single" w:color="0B1F3A" w:sz="4"/>
              <w:right w:val="single" w:color="0B1F3A" w:sz="4"/>
            </w:tcBorders>
            <w:shd w:fill="0B1F3A" w:val="clear"/>
            <w:tcMar>
              <w:top w:type="dxa" w:w="100"/>
              <w:left w:type="dxa" w:w="140"/>
              <w:bottom w:type="dxa" w:w="100"/>
              <w:right w:type="dxa" w:w="140"/>
            </w:tcMar>
            <w:vAlign w:val="center"/>
          </w:tcPr>
          <w:p>
            <w:r>
              <w:rPr>
                <w:rFonts w:ascii="Inter" w:cs="Inter" w:eastAsia="Inter" w:hAnsi="Inter"/>
                <w:b/>
                <w:bCs/>
                <w:color w:val="FFFFFF"/>
                <w:sz w:val="20"/>
                <w:szCs w:val="20"/>
              </w:rPr>
              <w:t xml:space="preserve">Mitigation</w:t>
            </w:r>
          </w:p>
        </w:tc>
      </w:tr>
      <w:tr>
        <w:tc>
          <w:tcPr>
            <w:tcW w:type="dxa" w:w="240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Exotel KYC takes longer than 7 days, blocks W1 demo</w:t>
            </w:r>
          </w:p>
        </w:tc>
        <w:tc>
          <w:tcPr>
            <w:tcW w:type="dxa" w:w="130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Med</w:t>
            </w:r>
          </w:p>
        </w:tc>
        <w:tc>
          <w:tcPr>
            <w:tcW w:type="dxa" w:w="130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High</w:t>
            </w:r>
          </w:p>
        </w:tc>
        <w:tc>
          <w:tcPr>
            <w:tcW w:type="dxa" w:w="436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Submit on Day 1. Have Plivo as parallel fallback that requires no India KYC if blocked.</w:t>
            </w:r>
          </w:p>
        </w:tc>
      </w:tr>
      <w:tr>
        <w:tc>
          <w:tcPr>
            <w:tcW w:type="dxa" w:w="24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Deepgram cost overruns on long calls</w:t>
            </w:r>
          </w:p>
        </w:tc>
        <w:tc>
          <w:tcPr>
            <w:tcW w:type="dxa" w:w="13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Med</w:t>
            </w:r>
          </w:p>
        </w:tc>
        <w:tc>
          <w:tcPr>
            <w:tcW w:type="dxa" w:w="13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Med</w:t>
            </w:r>
          </w:p>
        </w:tc>
        <w:tc>
          <w:tcPr>
            <w:tcW w:type="dxa" w:w="43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Cap per-call duration cost; auto-fallback to Whisper for calls &gt; 8 min. Pre-pay Deepgram for predictable rate.</w:t>
            </w:r>
          </w:p>
        </w:tc>
      </w:tr>
      <w:tr>
        <w:tc>
          <w:tcPr>
            <w:tcW w:type="dxa" w:w="240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Webhook signature verification fails silently</w:t>
            </w:r>
          </w:p>
        </w:tc>
        <w:tc>
          <w:tcPr>
            <w:tcW w:type="dxa" w:w="130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Low</w:t>
            </w:r>
          </w:p>
        </w:tc>
        <w:tc>
          <w:tcPr>
            <w:tcW w:type="dxa" w:w="130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High</w:t>
            </w:r>
          </w:p>
        </w:tc>
        <w:tc>
          <w:tcPr>
            <w:tcW w:type="dxa" w:w="436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Per-environment HMAC secret rotation. Synthetic test call every 15 min in production with alert on failure.</w:t>
            </w:r>
          </w:p>
        </w:tc>
      </w:tr>
      <w:tr>
        <w:tc>
          <w:tcPr>
            <w:tcW w:type="dxa" w:w="24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LLM hallucinates a score</w:t>
            </w:r>
          </w:p>
        </w:tc>
        <w:tc>
          <w:tcPr>
            <w:tcW w:type="dxa" w:w="13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Med</w:t>
            </w:r>
          </w:p>
        </w:tc>
        <w:tc>
          <w:tcPr>
            <w:tcW w:type="dxa" w:w="13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High</w:t>
            </w:r>
          </w:p>
        </w:tc>
        <w:tc>
          <w:tcPr>
            <w:tcW w:type="dxa" w:w="43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Mandatory eval harness as CI gate (≥85% agreement). Drift monitor in production. Override flow audit-logged.</w:t>
            </w:r>
          </w:p>
        </w:tc>
      </w:tr>
      <w:tr>
        <w:tc>
          <w:tcPr>
            <w:tcW w:type="dxa" w:w="240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Recording leaks PII to LLM (Aadhaar in transcript)</w:t>
            </w:r>
          </w:p>
        </w:tc>
        <w:tc>
          <w:tcPr>
            <w:tcW w:type="dxa" w:w="130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Low</w:t>
            </w:r>
          </w:p>
        </w:tc>
        <w:tc>
          <w:tcPr>
            <w:tcW w:type="dxa" w:w="130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Critical</w:t>
            </w:r>
          </w:p>
        </w:tc>
        <w:tc>
          <w:tcPr>
            <w:tcW w:type="dxa" w:w="436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L1 redaction is non-negotiable. Quarterly red-team test. Per-tenant audit reports.</w:t>
            </w:r>
          </w:p>
        </w:tc>
      </w:tr>
      <w:tr>
        <w:tc>
          <w:tcPr>
            <w:tcW w:type="dxa" w:w="24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Provider raises per-minute price 20%</w:t>
            </w:r>
          </w:p>
        </w:tc>
        <w:tc>
          <w:tcPr>
            <w:tcW w:type="dxa" w:w="13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Med</w:t>
            </w:r>
          </w:p>
        </w:tc>
        <w:tc>
          <w:tcPr>
            <w:tcW w:type="dxa" w:w="130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Med</w:t>
            </w:r>
          </w:p>
        </w:tc>
        <w:tc>
          <w:tcPr>
            <w:tcW w:type="dxa" w:w="4360"/>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Adapter pattern means we switch to alternate provider in days. Per-tenant negotiation for top-volume tenants.</w:t>
            </w:r>
          </w:p>
        </w:tc>
      </w:tr>
      <w:tr>
        <w:tc>
          <w:tcPr>
            <w:tcW w:type="dxa" w:w="240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Customer pushes back on AI score quality</w:t>
            </w:r>
          </w:p>
        </w:tc>
        <w:tc>
          <w:tcPr>
            <w:tcW w:type="dxa" w:w="130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Med</w:t>
            </w:r>
          </w:p>
        </w:tc>
        <w:tc>
          <w:tcPr>
            <w:tcW w:type="dxa" w:w="130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High</w:t>
            </w:r>
          </w:p>
        </w:tc>
        <w:tc>
          <w:tcPr>
            <w:tcW w:type="dxa" w:w="4360"/>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20" w:before="20"/>
            </w:pPr>
            <w:r>
              <w:rPr>
                <w:rFonts w:ascii="Inter" w:cs="Inter" w:eastAsia="Inter" w:hAnsi="Inter"/>
                <w:b w:val="false"/>
                <w:bCs w:val="false"/>
                <w:color w:val="1F2937"/>
                <w:sz w:val="20"/>
                <w:szCs w:val="20"/>
              </w:rPr>
              <w:t xml:space="preserve">Calibration period (first 30 days shadow mode). Per-tenant eval set. Agreement-rate dashboard visible to buyer in real time.</w:t>
            </w:r>
          </w:p>
        </w:tc>
      </w:tr>
    </w:tbl>
    <w:p>
      <w:r>
        <w:br w:type="page"/>
      </w:r>
    </w:p>
    <w:p>
      <w:pPr>
        <w:pStyle w:val="Heading1"/>
        <w:spacing w:after="200" w:before="360"/>
      </w:pPr>
      <w:r>
        <w:rPr>
          <w:rFonts w:ascii="Inter" w:cs="Inter" w:eastAsia="Inter" w:hAnsi="Inter"/>
          <w:b/>
          <w:bCs/>
          <w:color w:val="0B1F3A"/>
          <w:sz w:val="40"/>
          <w:szCs w:val="40"/>
        </w:rPr>
        <w:t xml:space="preserve">9.  Next Decisions to Make</w:t>
      </w:r>
    </w:p>
    <w:p>
      <w:r>
        <w:rPr>
          <w:rFonts w:ascii="Inter" w:cs="Inter" w:eastAsia="Inter" w:hAnsi="Inter"/>
          <w:color w:val="1F2937"/>
          <w:sz w:val="22"/>
          <w:szCs w:val="22"/>
        </w:rPr>
        <w:t xml:space="preserve">Six choices to lock in the next 7 days. Each is a half-day investigation max; do not let them slip past Day 7.</w:t>
      </w:r>
    </w:p>
    <w:p>
      <w:pPr>
        <w:spacing w:after="120"/>
      </w:pPr>
      <w:r>
        <w:t xml:space="preserve"/>
      </w:r>
    </w:p>
    <w:p>
      <w:pPr>
        <w:pStyle w:val="ListParagraph"/>
        <w:numPr>
          <w:ilvl w:val="0"/>
          <w:numId w:val="3"/>
        </w:numPr>
        <w:spacing w:after="40" w:before="40"/>
      </w:pPr>
      <w:r>
        <w:rPr>
          <w:rFonts w:ascii="Inter" w:cs="Inter" w:eastAsia="Inter" w:hAnsi="Inter"/>
          <w:color w:val="1F2937"/>
          <w:sz w:val="22"/>
          <w:szCs w:val="22"/>
        </w:rPr>
        <w:t xml:space="preserve">Confirm Exotel as primary vendor for India (or Plivo if pay-as-you-go matters more than India compliance hand-holding).</w:t>
      </w:r>
    </w:p>
    <w:p>
      <w:pPr>
        <w:pStyle w:val="ListParagraph"/>
        <w:numPr>
          <w:ilvl w:val="0"/>
          <w:numId w:val="3"/>
        </w:numPr>
        <w:spacing w:after="40" w:before="40"/>
      </w:pPr>
      <w:r>
        <w:rPr>
          <w:rFonts w:ascii="Inter" w:cs="Inter" w:eastAsia="Inter" w:hAnsi="Inter"/>
          <w:color w:val="1F2937"/>
          <w:sz w:val="22"/>
          <w:szCs w:val="22"/>
        </w:rPr>
        <w:t xml:space="preserve">Submit business KYC documents to chosen vendor — Day 1 of Week 1.</w:t>
      </w:r>
    </w:p>
    <w:p>
      <w:pPr>
        <w:pStyle w:val="ListParagraph"/>
        <w:numPr>
          <w:ilvl w:val="0"/>
          <w:numId w:val="3"/>
        </w:numPr>
        <w:spacing w:after="40" w:before="40"/>
      </w:pPr>
      <w:r>
        <w:rPr>
          <w:rFonts w:ascii="Inter" w:cs="Inter" w:eastAsia="Inter" w:hAnsi="Inter"/>
          <w:color w:val="1F2937"/>
          <w:sz w:val="22"/>
          <w:szCs w:val="22"/>
        </w:rPr>
        <w:t xml:space="preserve">Decide single DID vs per-villa DIDs (per-villa = better attribution, more cost; single = cheaper, harder per-villa routing).</w:t>
      </w:r>
    </w:p>
    <w:p>
      <w:pPr>
        <w:pStyle w:val="ListParagraph"/>
        <w:numPr>
          <w:ilvl w:val="0"/>
          <w:numId w:val="3"/>
        </w:numPr>
        <w:spacing w:after="40" w:before="40"/>
      </w:pPr>
      <w:r>
        <w:rPr>
          <w:rFonts w:ascii="Inter" w:cs="Inter" w:eastAsia="Inter" w:hAnsi="Inter"/>
          <w:color w:val="1F2937"/>
          <w:sz w:val="22"/>
          <w:szCs w:val="22"/>
        </w:rPr>
        <w:t xml:space="preserve">Lock the IVR flow copy with reservations head — greeting + consent + language menu + after-hours fallback.</w:t>
      </w:r>
    </w:p>
    <w:p>
      <w:pPr>
        <w:pStyle w:val="ListParagraph"/>
        <w:numPr>
          <w:ilvl w:val="0"/>
          <w:numId w:val="3"/>
        </w:numPr>
        <w:spacing w:after="40" w:before="40"/>
      </w:pPr>
      <w:r>
        <w:rPr>
          <w:rFonts w:ascii="Inter" w:cs="Inter" w:eastAsia="Inter" w:hAnsi="Inter"/>
          <w:color w:val="1F2937"/>
          <w:sz w:val="22"/>
          <w:szCs w:val="22"/>
        </w:rPr>
        <w:t xml:space="preserve">Pick masking policy — full masking from Day 1 (recommended) or unmasked phase-1 (faster but reputational risk).</w:t>
      </w:r>
    </w:p>
    <w:p>
      <w:pPr>
        <w:pStyle w:val="ListParagraph"/>
        <w:numPr>
          <w:ilvl w:val="0"/>
          <w:numId w:val="3"/>
        </w:numPr>
        <w:spacing w:after="40" w:before="40"/>
      </w:pPr>
      <w:r>
        <w:rPr>
          <w:rFonts w:ascii="Inter" w:cs="Inter" w:eastAsia="Inter" w:hAnsi="Inter"/>
          <w:color w:val="1F2937"/>
          <w:sz w:val="22"/>
          <w:szCs w:val="22"/>
        </w:rPr>
        <w:t xml:space="preserve">Confirm hybrid LLM stack as default (Haiku + Sonnet edge cases). Reserve Whisper-self-hosted activation for the Scale tier when we hit &gt; 5K calls/mo on a single tenant.</w:t>
      </w:r>
    </w:p>
    <w:p>
      <w:pPr>
        <w:spacing w:after="200"/>
      </w:pPr>
      <w:r>
        <w:t xml:space="preserve"/>
      </w:r>
    </w:p>
    <w:p>
      <w:pPr>
        <w:pBdr>
          <w:bottom w:val="single" w:color="14B8A6" w:sz="8" w:space="1"/>
        </w:pBdr>
        <w:spacing w:after="80" w:before="80"/>
      </w:pPr>
      <w:r>
        <w:t xml:space="preserve"/>
      </w:r>
    </w:p>
    <w:p>
      <w:pPr>
        <w:spacing w:after="120"/>
      </w:pPr>
      <w:r>
        <w:t xml:space="preserve"/>
      </w:r>
    </w:p>
    <w:p>
      <w:pPr>
        <w:jc w:val="center"/>
      </w:pPr>
      <w:r>
        <w:rPr>
          <w:rFonts w:ascii="Inter" w:cs="Inter" w:eastAsia="Inter" w:hAnsi="Inter"/>
          <w:i/>
          <w:iCs/>
          <w:color w:val="64748B"/>
          <w:sz w:val="20"/>
          <w:szCs w:val="20"/>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6"/>
      </w:pBdr>
      <w:tabs>
        <w:tab w:val="right" w:pos="9360"/>
      </w:tabs>
    </w:pPr>
    <w:r>
      <w:rPr>
        <w:rFonts w:ascii="Inter" w:cs="Inter" w:eastAsia="Inter" w:hAnsi="Inter"/>
        <w:color w:val="64748B"/>
        <w:sz w:val="16"/>
        <w:szCs w:val="16"/>
      </w:rPr>
      <w:t xml:space="preserve">© 2026 HAIP</w:t>
    </w:r>
    <w:r>
      <w:rPr>
        <w:rFonts w:ascii="Inter" w:cs="Inter" w:eastAsia="Inter" w:hAnsi="Inter"/>
        <w:color w:val="64748B"/>
        <w:sz w:val="16"/>
        <w:szCs w:val="16"/>
      </w:rPr>
      <w:t xml:space="preserve">	Page </w:t>
    </w:r>
    <w:r>
      <w:rPr>
        <w:rFonts w:ascii="Inter" w:cs="Inter" w:eastAsia="Inter" w:hAnsi="Inter"/>
        <w:color w:val="64748B"/>
        <w:sz w:val="16"/>
        <w:szCs w:val="16"/>
      </w:rPr>
      <w:fldChar w:fldCharType="begin"/>
      <w:instrText xml:space="preserve">PAGE</w:instrText>
      <w:fldChar w:fldCharType="separate"/>
      <w:fldChar w:fldCharType="end"/>
    </w:r>
    <w:r>
      <w:rPr>
        <w:rFonts w:ascii="Inter" w:cs="Inter" w:eastAsia="Inter" w:hAnsi="Inter"/>
        <w:color w:val="64748B"/>
        <w:sz w:val="16"/>
        <w:szCs w:val="16"/>
      </w:rPr>
      <w:t xml:space="preserve"> of </w:t>
    </w:r>
    <w:r>
      <w:rPr>
        <w:rFonts w:ascii="Inter" w:cs="Inter" w:eastAsia="Inter" w:hAnsi="Inter"/>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rPr>
        <w:rFonts w:ascii="Inter" w:cs="Inter" w:eastAsia="Inter" w:hAnsi="Inter"/>
        <w:b/>
        <w:bCs/>
        <w:color w:val="14B8A6"/>
        <w:sz w:val="18"/>
        <w:szCs w:val="18"/>
      </w:rPr>
      <w:t xml:space="preserve">HAIP</w:t>
    </w:r>
    <w:r>
      <w:rPr>
        <w:rFonts w:ascii="Inter" w:cs="Inter" w:eastAsia="Inter" w:hAnsi="Inter"/>
        <w:color w:val="64748B"/>
        <w:sz w:val="18"/>
        <w:szCs w:val="18"/>
      </w:rPr>
      <w:t xml:space="preserve">   IVR Sequence &amp; Cost Model v1</w:t>
    </w:r>
    <w:r>
      <w:rPr>
        <w:rFonts w:ascii="Inter" w:cs="Inter" w:eastAsia="Inter" w:hAnsi="Inter"/>
        <w:color w:val="64748B"/>
        <w:sz w:val="18"/>
        <w:szCs w:val="18"/>
      </w:rPr>
      <w:t xml:space="preserve">	Confidential —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abstractNum w:abstractNumId="3" w15:restartNumberingAfterBreak="0">
    <w:multiLevelType w:val="hybridMultilevel"/>
    <w:lvl w:ilvl="0" w15:tentative="1">
      <w:start w:val="1"/>
      <w:numFmt w:val="decimal"/>
      <w:lvlText w:val="%1."/>
      <w:lvlJc w:val="left"/>
      <w:pPr>
        <w:ind w:left="48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Inter" w:cs="Inter" w:eastAsia="Inter" w:hAnsi="Inter"/>
      <w:b/>
      <w:bCs/>
      <w:color w:val="0B1F3A"/>
      <w:sz w:val="40"/>
      <w:szCs w:val="40"/>
    </w:rPr>
  </w:style>
  <w:style w:type="paragraph" w:styleId="Heading2">
    <w:name w:val="Heading 2"/>
    <w:basedOn w:val="Normal"/>
    <w:next w:val="Normal"/>
    <w:qFormat/>
    <w:pPr>
      <w:spacing w:after="140" w:before="280"/>
      <w:outlineLvl w:val="1"/>
    </w:pPr>
    <w:rPr>
      <w:rFonts w:ascii="Inter" w:cs="Inter" w:eastAsia="Inter" w:hAnsi="Inter"/>
      <w:b/>
      <w:bCs/>
      <w:color w:val="163458"/>
      <w:sz w:val="30"/>
      <w:szCs w:val="30"/>
    </w:rPr>
  </w:style>
  <w:style w:type="paragraph" w:styleId="Heading3">
    <w:name w:val="Heading 3"/>
    <w:basedOn w:val="Normal"/>
    <w:next w:val="Normal"/>
    <w:qFormat/>
    <w:pPr>
      <w:spacing w:after="100" w:before="200"/>
      <w:outlineLvl w:val="2"/>
    </w:pPr>
    <w:rPr>
      <w:rFonts w:ascii="Inter" w:cs="Inter" w:eastAsia="Inter" w:hAnsi="Inter"/>
      <w:b/>
      <w:bCs/>
      <w:color w:val="0d948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HAIP — IVR Sequence &amp; Cost Model</dc:title>
  <dc:creator>Sharath D.</dc:creator>
  <dc:description>Vendor pick · end-to-end call flow · per-call unit economics · SMB pricing tiers</dc:description>
  <cp:lastModifiedBy>Un-named</cp:lastModifiedBy>
  <cp:revision>1</cp:revision>
  <dcterms:created xsi:type="dcterms:W3CDTF">2026-05-05T14:42:29.221Z</dcterms:created>
  <dcterms:modified xsi:type="dcterms:W3CDTF">2026-05-05T14:42:29.242Z</dcterms:modified>
</cp:coreProperties>
</file>

<file path=docProps/custom.xml><?xml version="1.0" encoding="utf-8"?>
<Properties xmlns="http://schemas.openxmlformats.org/officeDocument/2006/custom-properties" xmlns:vt="http://schemas.openxmlformats.org/officeDocument/2006/docPropsVTypes"/>
</file>