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color="auto" w:val="clear"/>
        <w:spacing w:after="60"/>
      </w:pPr>
      <w:r>
        <w:rPr>
          <w:color w:val="0F172A"/>
        </w:rPr>
        <w:t xml:space="preserve"> 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10440"/>
            <w:shd w:fill="0F172A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Tableau → Streamlit-in-Snowflake Accelerator</w:t>
            </w:r>
          </w:p>
          <w:p>
            <w:pPr>
              <w:spacing w:before="60"/>
            </w:pPr>
            <w:r>
              <w:rPr>
                <w:color w:val="CBD5E1"/>
                <w:sz w:val="22"/>
                <w:szCs w:val="22"/>
              </w:rPr>
              <w:t xml:space="preserve">MVP Scope: Data-Model Coverage Gap</w:t>
            </w:r>
          </w:p>
          <w:p>
            <w:pPr>
              <w:spacing w:before="120"/>
            </w:pPr>
            <w:r>
              <w:rPr>
                <w:color w:val="94A3B8"/>
                <w:sz w:val="17"/>
                <w:szCs w:val="17"/>
              </w:rPr>
              <w:t xml:space="preserve">Prepared by: Sharath Kumar   ·   Date: 21 Jul 2026   ·   Estimate basis: this project's own delivery pace</w:t>
            </w:r>
          </w:p>
        </w:tc>
      </w:tr>
    </w:tbl>
    <w:p>
      <w:pPr>
        <w:spacing w:before="260"/>
      </w:pPr>
    </w:p>
    <w:tbl>
      <w:tblPr>
        <w:tblW w:type="dxa" w:w="1044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FFFF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Constructs not fully built</w:t>
            </w:r>
          </w:p>
        </w:tc>
        <w:tc>
          <w:tcPr>
            <w:tcW w:type="dxa" w:w="2610"/>
            <w:shd w:fill="FFFF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5–7 days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Total MVP estimate</w:t>
            </w:r>
          </w:p>
        </w:tc>
        <w:tc>
          <w:tcPr>
            <w:tcW w:type="dxa" w:w="2610"/>
            <w:shd w:fill="FFFF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Constructs already built</w:t>
            </w:r>
          </w:p>
        </w:tc>
        <w:tc>
          <w:tcPr>
            <w:tcW w:type="dxa" w:w="2610"/>
            <w:shd w:fill="FFFF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Est. bug-fix buffer (days)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0F172A"/>
        </w:rPr>
        <w:t xml:space="preserve">Scope of this document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covers ONE slice of the overall accelerator MVP: data-model source coverage — how the accelerator handles the different ways Tableau workbooks store and connect to data (extracts, live connections, flat files, relationships, joins, unions, custom SQL). It does not cover chart-type coverage, calc translation, layout fidelity, or the Cortex AI layer, which are tracked separately.</w:t>
      </w:r>
    </w:p>
    <w:p>
      <w:pPr>
        <w:pStyle w:val="Heading1"/>
        <w:spacing w:after="140" w:before="300"/>
      </w:pPr>
      <w:r>
        <w:rPr>
          <w:b/>
          <w:bCs/>
          <w:color w:val="0F172A"/>
        </w:rPr>
        <w:t xml:space="preserve">Current coverage</w:t>
      </w:r>
    </w:p>
    <w:tbl>
      <w:tblPr>
        <w:tblW w:type="dxa" w:w="1044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1500"/>
        <w:gridCol w:w="6540"/>
      </w:tblGrid>
      <w:tr>
        <w:tc>
          <w:tcPr>
            <w:tcW w:type="dxa" w:w="24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Construct</w:t>
            </w:r>
          </w:p>
        </w:tc>
        <w:tc>
          <w:tcPr>
            <w:tcW w:type="dxa" w:w="15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tcW w:type="dxa" w:w="654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Extracts (.hyper)</w:t>
            </w:r>
          </w:p>
        </w:tc>
        <w:tc>
          <w:tcPr>
            <w:tcW w:type="dxa" w:w="15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Built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Decodes locally; no in-Snowflake decoder — one-time laptop pre-load required.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Flat files (CSV / Excel)</w:t>
            </w:r>
          </w:p>
        </w:tc>
        <w:tc>
          <w:tcPr>
            <w:tcW w:type="dxa" w:w="15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Built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Works fully in-Snowflake; no laptop step needed.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Relationships (multi-table, star schema)</w:t>
            </w:r>
          </w:p>
        </w:tc>
        <w:tc>
          <w:tcPr>
            <w:tcW w:type="dxa" w:w="15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Built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Auto-flattens via LEFT JOIN at onboard time.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Live connections</w:t>
            </w:r>
          </w:p>
        </w:tc>
        <w:tc>
          <w:tcPr>
            <w:tcW w:type="dxa" w:w="15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Not built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Falls back to a pre-loaded stand-in table; never queries the live source.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Joins (non-star / live-connection)</w:t>
            </w:r>
          </w:p>
        </w:tc>
        <w:tc>
          <w:tcPr>
            <w:tcW w:type="dxa" w:w="1500"/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Partial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Only star-schema relationship joins materialize; everything else is flagged, not generated.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Unions</w:t>
            </w:r>
          </w:p>
        </w:tc>
        <w:tc>
          <w:tcPr>
            <w:tcW w:type="dxa" w:w="15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Not built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No code path reads Tableau's union relation type at all.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Custom SQL datasources</w:t>
            </w:r>
          </w:p>
        </w:tc>
        <w:tc>
          <w:tcPr>
            <w:tcW w:type="dxa" w:w="1500"/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Detected only</w:t>
            </w:r>
          </w:p>
        </w:tc>
        <w:tc>
          <w:tcPr>
            <w:tcW w:type="dxa" w:w="65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Surfaces as a reported finding; the SQL itself never executes or materializes a table.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0F172A"/>
        </w:rPr>
        <w:t xml:space="preserve">MVP additions needed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Closing the gap above requires four build items plus the audit/test coverage every feature in this project ships with as standard practice.</w:t>
      </w:r>
    </w:p>
    <w:tbl>
      <w:tblPr>
        <w:tblW w:type="dxa" w:w="1044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520"/>
        <w:gridCol w:w="3100"/>
        <w:gridCol w:w="900"/>
        <w:gridCol w:w="1300"/>
        <w:gridCol w:w="4620"/>
      </w:tblGrid>
      <w:tr>
        <w:tc>
          <w:tcPr>
            <w:tcW w:type="dxa" w:w="52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Item</w:t>
            </w:r>
          </w:p>
        </w:tc>
        <w:tc>
          <w:tcPr>
            <w:tcW w:type="dxa" w:w="9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Priority</w:t>
            </w:r>
          </w:p>
        </w:tc>
        <w:tc>
          <w:tcPr>
            <w:tcW w:type="dxa" w:w="13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Est.</w:t>
            </w:r>
          </w:p>
        </w:tc>
        <w:tc>
          <w:tcPr>
            <w:tcW w:type="dxa" w:w="462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aps/>
                <w:color w:val="475569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Custom SQL datasource execution</w:t>
            </w:r>
          </w:p>
        </w:tc>
        <w:tc>
          <w:tcPr>
            <w:tcW w:type="dxa" w:w="9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 day</w:t>
            </w:r>
          </w:p>
        </w:tc>
        <w:tc>
          <w:tcPr>
            <w:tcW w:type="dxa" w:w="46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Executes the workbook's own custom SQL and materializes it as a real table (today: reported, not run).</w:t>
            </w:r>
          </w:p>
        </w:tc>
      </w:tr>
      <w:t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Live connection support</w:t>
            </w:r>
          </w:p>
        </w:tc>
        <w:tc>
          <w:tcPr>
            <w:tcW w:type="dxa" w:w="9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0.5–1 day</w:t>
            </w:r>
          </w:p>
        </w:tc>
        <w:tc>
          <w:tcPr>
            <w:tcW w:type="dxa" w:w="46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Points a live-connected datasource straight at the real Snowflake table/view — no data movement needed.</w:t>
            </w:r>
          </w:p>
        </w:tc>
      </w:tr>
      <w:t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Union support</w:t>
            </w:r>
          </w:p>
        </w:tc>
        <w:tc>
          <w:tcPr>
            <w:tcW w:type="dxa" w:w="9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 day</w:t>
            </w:r>
          </w:p>
        </w:tc>
        <w:tc>
          <w:tcPr>
            <w:tcW w:type="dxa" w:w="46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Detects Tableau's union relation type, generates UNION ALL across branches.</w:t>
            </w:r>
          </w:p>
        </w:tc>
      </w:tr>
      <w:t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Non-star join → Snowflake views</w:t>
            </w:r>
          </w:p>
        </w:tc>
        <w:tc>
          <w:tcPr>
            <w:tcW w:type="dxa" w:w="900"/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1–1.5 days</w:t>
            </w:r>
          </w:p>
        </w:tc>
        <w:tc>
          <w:tcPr>
            <w:tcW w:type="dxa" w:w="46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Generates real views for join graphs that aren't a clean star schema (today: largest table + warning).</w:t>
            </w:r>
          </w:p>
        </w:tc>
      </w:tr>
      <w:tr>
        <w:tc>
          <w:tcPr>
            <w:tcW w:type="dxa" w:w="5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Audit + regression coverage</w:t>
            </w:r>
          </w:p>
        </w:tc>
        <w:tc>
          <w:tcPr>
            <w:tcW w:type="dxa" w:w="9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P2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included above</w:t>
            </w:r>
          </w:p>
        </w:tc>
        <w:tc>
          <w:tcPr>
            <w:tcW w:type="dxa" w:w="46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Each item ships with its own audit metric + corpus test, per standing project practice — not additional time.</w:t>
            </w:r>
          </w:p>
        </w:tc>
      </w:tr>
      <w:tr>
        <w:tc>
          <w:tcPr>
            <w:tcW w:type="dxa" w:w="52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Live-deploy bugfix buffer</w:t>
            </w:r>
          </w:p>
        </w:tc>
        <w:tc>
          <w:tcPr>
            <w:tcW w:type="dxa" w:w="9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1–1.5 days</w:t>
            </w:r>
          </w:p>
        </w:tc>
        <w:tc>
          <w:tcPr>
            <w:tcW w:type="dxa" w:w="4620"/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This project consistently surfaces 3–6 real Snowflake dialect/privilege bugs on first live test of any new feature.</w:t>
            </w:r>
          </w:p>
        </w:tc>
      </w:tr>
      <w:tr>
        <w:tc>
          <w:tcPr>
            <w:tcW w:type="dxa" w:w="520"/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5–7 days</w:t>
            </w:r>
          </w:p>
        </w:tc>
        <w:tc>
          <w:tcPr>
            <w:tcW w:type="dxa" w:w="4620"/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Solo developer + AI-assisted pace, consistent with this project's delivery history.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0F172A"/>
        </w:rPr>
        <w:t xml:space="preserve">Assumptions &amp; caveats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0"/>
          <w:szCs w:val="20"/>
        </w:rPr>
        <w:t xml:space="preserve">Estimate reflects this project's own historical pace — most named features have shipped same-day or next-day, including their corpus sweep and regression gate.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0"/>
          <w:szCs w:val="20"/>
        </w:rPr>
        <w:t xml:space="preserve">This is build time only. It excludes time waiting on Snowflake account/SSO access for live testing.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0"/>
          <w:szCs w:val="20"/>
        </w:rPr>
        <w:t xml:space="preserve">Two items most likely to run long: custom SQL parameter substitution edge cases, and non-star join edge cases — both areas where this project's “never guess” discipline tends to surface more real cases than expected.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0"/>
          <w:szCs w:val="20"/>
        </w:rPr>
        <w:t xml:space="preserve">No new blockers assumed. A genuinely novel Tableau construct discovered mid-build would extend the estimate, consistent with this project's history.</w:t>
      </w:r>
    </w:p>
    <w:p>
      <w:pPr>
        <w:pStyle w:val="Heading1"/>
        <w:spacing w:after="140" w:before="300"/>
      </w:pPr>
      <w:r>
        <w:rPr>
          <w:b/>
          <w:bCs/>
          <w:color w:val="0F172A"/>
        </w:rPr>
        <w:t xml:space="preserve">Recommendation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Start with Items 1–3 (Custom SQL, Live connections, Unions) — all P0, all needed to demo the data-model scenarios already identified for the client walkthrough. Item 4 (non-star joins) can follow once the semantic-layer generator is extended, and is lower risk to defer past the initial MVP demo.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2026-07-21T09:43:34.406Z</dcterms:created>
  <dcterms:modified xsi:type="dcterms:W3CDTF">2026-07-21T09:43:34.407Z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