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</w:pPr>
      <w:r>
        <w:rPr>
          <w:rFonts w:ascii="Arial" w:hAnsi="Arial"/>
          <w:color w:val="000000"/>
        </w:rPr>
        <w:t>VirtueCommand</w:t>
      </w:r>
    </w:p>
    <w:p>
      <w:r>
        <w:rPr>
          <w:rFonts w:ascii="Arial" w:hAnsi="Arial"/>
          <w:b w:val="0"/>
          <w:i/>
          <w:sz w:val="22"/>
        </w:rPr>
        <w:t>AI-Powered Health Facility Intelligence for Ghana</w:t>
      </w:r>
    </w:p>
    <w:p>
      <w:pPr>
        <w:pStyle w:val="Heading2"/>
      </w:pPr>
      <w:r>
        <w:rPr>
          <w:rFonts w:ascii="Arial" w:hAnsi="Arial"/>
          <w:color w:val="000000"/>
        </w:rPr>
        <w:t>Overview</w:t>
      </w:r>
    </w:p>
    <w:p>
      <w:r>
        <w:rPr>
          <w:rFonts w:ascii="Arial" w:hAnsi="Arial"/>
          <w:b w:val="0"/>
          <w:i w:val="0"/>
          <w:sz w:val="20"/>
        </w:rPr>
        <w:t>VirtueCommand turns messy, unverified health facility data into a structured medical knowledge graph, then exposes it through a multi-agent AI system that answers operational questions for NGO mission planners. From "which facilities offer dialysis in Northern Region?" to "where should we deploy a surgical mission team?", the system retrieves graph data, enriches it with demographic context, verifies claims through structured debate, and produces scored deployment recommendations.</w:t>
      </w:r>
    </w:p>
    <w:p>
      <w:pPr>
        <w:pStyle w:val="Heading2"/>
      </w:pPr>
      <w:r>
        <w:rPr>
          <w:rFonts w:ascii="Arial" w:hAnsi="Arial"/>
          <w:color w:val="000000"/>
        </w:rPr>
        <w:t>External Data Sources</w:t>
      </w:r>
    </w:p>
    <w:p>
      <w:r>
        <w:rPr>
          <w:rFonts w:ascii="Arial" w:hAnsi="Arial"/>
          <w:b/>
          <w:sz w:val="20"/>
        </w:rPr>
        <w:t xml:space="preserve">•  Virtue Foundation FDR: </w:t>
      </w:r>
      <w:r>
        <w:rPr>
          <w:rFonts w:ascii="Arial" w:hAnsi="Arial"/>
          <w:sz w:val="20"/>
        </w:rPr>
        <w:t>987 facility records from web scraping + LLM extraction (websites, social media, health registries). Includes contact, address, specialties, procedures, equipment, capabilities, and raw free-text.</w:t>
      </w:r>
    </w:p>
    <w:p>
      <w:r>
        <w:rPr>
          <w:rFonts w:ascii="Arial" w:hAnsi="Arial"/>
          <w:b/>
          <w:sz w:val="20"/>
        </w:rPr>
        <w:t xml:space="preserve">•  DHS Health Indicators: </w:t>
      </w:r>
      <w:r>
        <w:rPr>
          <w:rFonts w:ascii="Arial" w:hAnsi="Arial"/>
          <w:sz w:val="20"/>
        </w:rPr>
        <w:t>DHS 2022 subnational data for all 16 Ghana regions — child/maternal mortality, anemia, vaccination rates, insurance coverage, facility delivery rates.</w:t>
      </w:r>
    </w:p>
    <w:p>
      <w:r>
        <w:rPr>
          <w:rFonts w:ascii="Arial" w:hAnsi="Arial"/>
          <w:b/>
          <w:sz w:val="20"/>
        </w:rPr>
        <w:t xml:space="preserve">•  Population &amp; Accessibility: </w:t>
      </w:r>
      <w:r>
        <w:rPr>
          <w:rFonts w:ascii="Arial" w:hAnsi="Arial"/>
          <w:sz w:val="20"/>
        </w:rPr>
        <w:t>Population density, travel time/road quality, OpenStreetMap facility boundaries.</w:t>
      </w:r>
    </w:p>
    <w:p>
      <w:r>
        <w:rPr>
          <w:rFonts w:ascii="Arial" w:hAnsi="Arial"/>
          <w:b/>
          <w:sz w:val="20"/>
        </w:rPr>
        <w:t xml:space="preserve">•  WHO Health Systems: </w:t>
      </w:r>
      <w:r>
        <w:rPr>
          <w:rFonts w:ascii="Arial" w:hAnsi="Arial"/>
          <w:sz w:val="20"/>
        </w:rPr>
        <w:t>National-level health system rankings for country context.</w:t>
      </w:r>
    </w:p>
    <w:p>
      <w:pPr>
        <w:pStyle w:val="Heading2"/>
      </w:pPr>
      <w:r>
        <w:rPr>
          <w:rFonts w:ascii="Arial" w:hAnsi="Arial"/>
          <w:color w:val="000000"/>
        </w:rPr>
        <w:t>Knowledge Graph Pipeline</w:t>
      </w:r>
    </w:p>
    <w:p>
      <w:r>
        <w:rPr>
          <w:rFonts w:ascii="Arial" w:hAnsi="Arial"/>
          <w:b w:val="0"/>
          <w:i w:val="0"/>
          <w:sz w:val="20"/>
        </w:rPr>
        <w:t>Raw CSV data is transformed into a knowledge graph (1,019 nodes, 7,794 edges) through an 8-stage pipeline: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2D5F8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600"/>
            <w:shd w:fill="2D5F8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3600"/>
            <w:shd w:fill="2D5F8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600"/>
            <w:shd w:fill="F5F5F5"/>
          </w:tcPr>
          <w:p>
            <w:r/>
            <w:r>
              <w:rPr>
                <w:rFonts w:ascii="Arial" w:hAnsi="Arial"/>
                <w:sz w:val="18"/>
              </w:rPr>
              <w:t>1. Load &amp; Clean</w:t>
            </w:r>
          </w:p>
        </w:tc>
        <w:tc>
          <w:tcPr>
            <w:tcW w:type="dxa" w:w="3600"/>
            <w:shd w:fill="F5F5F5"/>
          </w:tcPr>
          <w:p>
            <w:r/>
            <w:r>
              <w:rPr>
                <w:rFonts w:ascii="Arial" w:hAnsi="Arial"/>
                <w:sz w:val="18"/>
              </w:rPr>
              <w:t>Parse JSON-encoded list fields, normalize nulls</w:t>
            </w:r>
          </w:p>
        </w:tc>
        <w:tc>
          <w:tcPr>
            <w:tcW w:type="dxa" w:w="3600"/>
            <w:shd w:fill="F5F5F5"/>
          </w:tcPr>
          <w:p>
            <w:r/>
            <w:r>
              <w:rPr>
                <w:rFonts w:ascii="Arial" w:hAnsi="Arial"/>
                <w:sz w:val="18"/>
              </w:rPr>
              <w:t>987 cleaned rows</w:t>
            </w:r>
          </w:p>
        </w:tc>
      </w:tr>
      <w:tr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sz w:val="18"/>
              </w:rPr>
              <w:t>2. Region Normalize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sz w:val="18"/>
              </w:rPr>
              <w:t>54+ raw address variants → 16 canonical regions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sz w:val="18"/>
              </w:rPr>
              <w:t>Standardized geography</w:t>
            </w:r>
          </w:p>
        </w:tc>
      </w:tr>
      <w:tr>
        <w:tc>
          <w:tcPr>
            <w:tcW w:type="dxa" w:w="3600"/>
            <w:shd w:fill="F5F5F5"/>
          </w:tcPr>
          <w:p>
            <w:r/>
            <w:r>
              <w:rPr>
                <w:rFonts w:ascii="Arial" w:hAnsi="Arial"/>
                <w:sz w:val="18"/>
              </w:rPr>
              <w:t>3. Deduplicate</w:t>
            </w:r>
          </w:p>
        </w:tc>
        <w:tc>
          <w:tcPr>
            <w:tcW w:type="dxa" w:w="3600"/>
            <w:shd w:fill="F5F5F5"/>
          </w:tcPr>
          <w:p>
            <w:r/>
            <w:r>
              <w:rPr>
                <w:rFonts w:ascii="Arial" w:hAnsi="Arial"/>
                <w:sz w:val="18"/>
              </w:rPr>
              <w:t>Merge multi-source rows by pk_unique_id</w:t>
            </w:r>
          </w:p>
        </w:tc>
        <w:tc>
          <w:tcPr>
            <w:tcW w:type="dxa" w:w="3600"/>
            <w:shd w:fill="F5F5F5"/>
          </w:tcPr>
          <w:p>
            <w:r/>
            <w:r>
              <w:rPr>
                <w:rFonts w:ascii="Arial" w:hAnsi="Arial"/>
                <w:sz w:val="18"/>
              </w:rPr>
              <w:t>742 unique facilities</w:t>
            </w:r>
          </w:p>
        </w:tc>
      </w:tr>
      <w:tr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sz w:val="18"/>
              </w:rPr>
              <w:t>4. Vocab Normalize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sz w:val="18"/>
              </w:rPr>
              <w:t>Regex + LLM batch (GPT-4o-mini) mapping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sz w:val="18"/>
              </w:rPr>
              <w:t>35 capabilities, 48 equipment types</w:t>
            </w:r>
          </w:p>
        </w:tc>
      </w:tr>
      <w:tr>
        <w:tc>
          <w:tcPr>
            <w:tcW w:type="dxa" w:w="3600"/>
            <w:shd w:fill="F5F5F5"/>
          </w:tcPr>
          <w:p>
            <w:r/>
            <w:r>
              <w:rPr>
                <w:rFonts w:ascii="Arial" w:hAnsi="Arial"/>
                <w:sz w:val="18"/>
              </w:rPr>
              <w:t>5. Build Graph</w:t>
            </w:r>
          </w:p>
        </w:tc>
        <w:tc>
          <w:tcPr>
            <w:tcW w:type="dxa" w:w="3600"/>
            <w:shd w:fill="F5F5F5"/>
          </w:tcPr>
          <w:p>
            <w:r/>
            <w:r>
              <w:rPr>
                <w:rFonts w:ascii="Arial" w:hAnsi="Arial"/>
                <w:sz w:val="18"/>
              </w:rPr>
              <w:t>Create typed nodes + edges with confidence scores</w:t>
            </w:r>
          </w:p>
        </w:tc>
        <w:tc>
          <w:tcPr>
            <w:tcW w:type="dxa" w:w="3600"/>
            <w:shd w:fill="F5F5F5"/>
          </w:tcPr>
          <w:p>
            <w:r/>
            <w:r>
              <w:rPr>
                <w:rFonts w:ascii="Arial" w:hAnsi="Arial"/>
                <w:sz w:val="18"/>
              </w:rPr>
              <w:t>6 node types, 8 edge types</w:t>
            </w:r>
          </w:p>
        </w:tc>
      </w:tr>
      <w:tr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sz w:val="18"/>
              </w:rPr>
              <w:t>6. Inference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sz w:val="18"/>
              </w:rPr>
              <w:t>Derive LACKS and COULD_SUPPORT edges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sz w:val="18"/>
              </w:rPr>
              <w:t>Gap + upgrade-opportunity signals</w:t>
            </w:r>
          </w:p>
        </w:tc>
      </w:tr>
      <w:tr>
        <w:tc>
          <w:tcPr>
            <w:tcW w:type="dxa" w:w="3600"/>
            <w:shd w:fill="F5F5F5"/>
          </w:tcPr>
          <w:p>
            <w:r/>
            <w:r>
              <w:rPr>
                <w:rFonts w:ascii="Arial" w:hAnsi="Arial"/>
                <w:sz w:val="18"/>
              </w:rPr>
              <w:t>7. Desert Detection</w:t>
            </w:r>
          </w:p>
        </w:tc>
        <w:tc>
          <w:tcPr>
            <w:tcW w:type="dxa" w:w="3600"/>
            <w:shd w:fill="F5F5F5"/>
          </w:tcPr>
          <w:p>
            <w:r/>
            <w:r>
              <w:rPr>
                <w:rFonts w:ascii="Arial" w:hAnsi="Arial"/>
                <w:sz w:val="18"/>
              </w:rPr>
              <w:t>Flag regions with zero providers for a specialty</w:t>
            </w:r>
          </w:p>
        </w:tc>
        <w:tc>
          <w:tcPr>
            <w:tcW w:type="dxa" w:w="3600"/>
            <w:shd w:fill="F5F5F5"/>
          </w:tcPr>
          <w:p>
            <w:r/>
            <w:r>
              <w:rPr>
                <w:rFonts w:ascii="Arial" w:hAnsi="Arial"/>
                <w:sz w:val="18"/>
              </w:rPr>
              <w:t>DESERT_FOR edges</w:t>
            </w:r>
          </w:p>
        </w:tc>
      </w:tr>
      <w:tr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sz w:val="18"/>
              </w:rPr>
              <w:t>8. Export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sz w:val="18"/>
              </w:rPr>
              <w:t>Serialize to pickle + GraphML + metadata JSON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sz w:val="18"/>
              </w:rPr>
              <w:t>Production-ready graph</w:t>
            </w:r>
          </w:p>
        </w:tc>
      </w:tr>
    </w:tbl>
    <w:p>
      <w:r>
        <w:rPr>
          <w:rFonts w:ascii="Arial" w:hAnsi="Arial"/>
          <w:b w:val="0"/>
          <w:i w:val="0"/>
          <w:sz w:val="20"/>
        </w:rPr>
      </w:r>
      <w:r>
        <w:rPr>
          <w:rFonts w:ascii="Arial" w:hAnsi="Arial"/>
          <w:b/>
          <w:sz w:val="20"/>
        </w:rPr>
        <w:t xml:space="preserve">Key innovation: </w:t>
      </w:r>
      <w:r>
        <w:rPr>
          <w:rFonts w:ascii="Arial" w:hAnsi="Arial"/>
          <w:i/>
          <w:sz w:val="20"/>
        </w:rPr>
        <w:t>Treating absence as signal — missing edges in the knowledge graph surface gaps, anomalies, and upgrade opportunities that flat data cannot reveal.</w:t>
      </w:r>
    </w:p>
    <w:p>
      <w:pPr>
        <w:pStyle w:val="Heading2"/>
      </w:pPr>
      <w:r>
        <w:rPr>
          <w:rFonts w:ascii="Arial" w:hAnsi="Arial"/>
          <w:color w:val="000000"/>
        </w:rPr>
        <w:t>Multi-Agent Architecture</w:t>
      </w:r>
    </w:p>
    <w:p>
      <w:r>
        <w:rPr>
          <w:rFonts w:ascii="Arial" w:hAnsi="Arial"/>
          <w:b w:val="0"/>
          <w:i w:val="0"/>
          <w:sz w:val="20"/>
        </w:rPr>
        <w:t>Supervisor pattern: one orchestrator delegates to specialist agents via tool calls. Each agent has a scoped tool set and system prompt. No handoffs — all coordination flows through the Supervisor.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2D5F8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2700"/>
            <w:shd w:fill="2D5F8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700"/>
            <w:shd w:fill="2D5F8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Tools</w:t>
            </w:r>
          </w:p>
        </w:tc>
        <w:tc>
          <w:tcPr>
            <w:tcW w:type="dxa" w:w="2700"/>
            <w:shd w:fill="2D5F8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Workflow</w:t>
            </w:r>
          </w:p>
        </w:tc>
      </w:tr>
      <w:tr>
        <w:tc>
          <w:tcPr>
            <w:tcW w:type="dxa" w:w="2700"/>
            <w:shd w:fill="F5F5F5"/>
          </w:tcPr>
          <w:p>
            <w:r/>
            <w:r>
              <w:rPr>
                <w:rFonts w:ascii="Arial" w:hAnsi="Arial"/>
                <w:sz w:val="18"/>
              </w:rPr>
              <w:t>Supervisor</w:t>
            </w:r>
          </w:p>
        </w:tc>
        <w:tc>
          <w:tcPr>
            <w:tcW w:type="dxa" w:w="2700"/>
            <w:shd w:fill="F5F5F5"/>
          </w:tcPr>
          <w:p>
            <w:r/>
            <w:r>
              <w:rPr>
                <w:rFonts w:ascii="Arial" w:hAnsi="Arial"/>
                <w:sz w:val="18"/>
              </w:rPr>
              <w:t>Orchestrator — reads intent, delegates, synthesizes</w:t>
            </w:r>
          </w:p>
        </w:tc>
        <w:tc>
          <w:tcPr>
            <w:tcW w:type="dxa" w:w="2700"/>
            <w:shd w:fill="F5F5F5"/>
          </w:tcPr>
          <w:p>
            <w:r/>
            <w:r>
              <w:rPr>
                <w:rFonts w:ascii="Arial" w:hAnsi="Arial"/>
                <w:sz w:val="18"/>
              </w:rPr>
              <w:t>ask_analyst, ask_planner, ask_verifier, ask_rag_agent, run_facility_debate, run_mission_debate</w:t>
            </w:r>
          </w:p>
        </w:tc>
        <w:tc>
          <w:tcPr>
            <w:tcW w:type="dxa" w:w="2700"/>
            <w:shd w:fill="F5F5F5"/>
          </w:tcPr>
          <w:p>
            <w:r/>
            <w:r>
              <w:rPr>
                <w:rFonts w:ascii="Arial" w:hAnsi="Arial"/>
                <w:sz w:val="18"/>
              </w:rPr>
              <w:t>Routes: lookups → Analyst; planning → Analyst → Planner; trust → Verifier; docs → RAG</w:t>
            </w:r>
          </w:p>
        </w:tc>
      </w:tr>
      <w:tr>
        <w:tc>
          <w:tcPr>
            <w:tcW w:type="dxa" w:w="2700"/>
            <w:shd w:fill="FFFFFF"/>
          </w:tcPr>
          <w:p>
            <w:r/>
            <w:r>
              <w:rPr>
                <w:rFonts w:ascii="Arial" w:hAnsi="Arial"/>
                <w:sz w:val="18"/>
              </w:rPr>
              <w:t>Analyst</w:t>
            </w:r>
          </w:p>
        </w:tc>
        <w:tc>
          <w:tcPr>
            <w:tcW w:type="dxa" w:w="2700"/>
            <w:shd w:fill="FFFFFF"/>
          </w:tcPr>
          <w:p>
            <w:r/>
            <w:r>
              <w:rPr>
                <w:rFonts w:ascii="Arial" w:hAnsi="Arial"/>
                <w:sz w:val="18"/>
              </w:rPr>
              <w:t>Graph data retrieval specialist</w:t>
            </w:r>
          </w:p>
        </w:tc>
        <w:tc>
          <w:tcPr>
            <w:tcW w:type="dxa" w:w="2700"/>
            <w:shd w:fill="FFFFFF"/>
          </w:tcPr>
          <w:p>
            <w:r/>
            <w:r>
              <w:rPr>
                <w:rFonts w:ascii="Arial" w:hAnsi="Arial"/>
                <w:sz w:val="18"/>
              </w:rPr>
              <w:t>resolve_terms, explore_overview, search_facilities, find_facility, count_facilities, search_raw_text, inspect_facility, get_requirements, find_gaps, find_cold_spots</w:t>
            </w:r>
          </w:p>
        </w:tc>
        <w:tc>
          <w:tcPr>
            <w:tcW w:type="dxa" w:w="2700"/>
            <w:shd w:fill="FFFFFF"/>
          </w:tcPr>
          <w:p>
            <w:r/>
            <w:r>
              <w:rPr>
                <w:rFonts w:ascii="Arial" w:hAnsi="Arial"/>
                <w:sz w:val="18"/>
              </w:rPr>
              <w:t>Vocabulary → Landscape → Search → Detail</w:t>
            </w:r>
          </w:p>
        </w:tc>
      </w:tr>
      <w:tr>
        <w:tc>
          <w:tcPr>
            <w:tcW w:type="dxa" w:w="2700"/>
            <w:shd w:fill="F5F5F5"/>
          </w:tcPr>
          <w:p>
            <w:r/>
            <w:r>
              <w:rPr>
                <w:rFonts w:ascii="Arial" w:hAnsi="Arial"/>
                <w:sz w:val="18"/>
              </w:rPr>
              <w:t>Planner</w:t>
            </w:r>
          </w:p>
        </w:tc>
        <w:tc>
          <w:tcPr>
            <w:tcW w:type="dxa" w:w="2700"/>
            <w:shd w:fill="F5F5F5"/>
          </w:tcPr>
          <w:p>
            <w:r/>
            <w:r>
              <w:rPr>
                <w:rFonts w:ascii="Arial" w:hAnsi="Arial"/>
                <w:sz w:val="18"/>
              </w:rPr>
              <w:t>Resource allocation &amp; deployment scoring</w:t>
            </w:r>
          </w:p>
        </w:tc>
        <w:tc>
          <w:tcPr>
            <w:tcW w:type="dxa" w:w="2700"/>
            <w:shd w:fill="F5F5F5"/>
          </w:tcPr>
          <w:p>
            <w:r/>
            <w:r>
              <w:rPr>
                <w:rFonts w:ascii="Arial" w:hAnsi="Arial"/>
                <w:sz w:val="18"/>
              </w:rPr>
              <w:t>get_region_context</w:t>
            </w:r>
          </w:p>
        </w:tc>
        <w:tc>
          <w:tcPr>
            <w:tcW w:type="dxa" w:w="2700"/>
            <w:shd w:fill="F5F5F5"/>
          </w:tcPr>
          <w:p>
            <w:r/>
            <w:r>
              <w:rPr>
                <w:rFonts w:ascii="Arial" w:hAnsi="Arial"/>
                <w:sz w:val="18"/>
              </w:rPr>
              <w:t>Context enrichment → Scoring (Coverage 40% + Readiness 30% + Equity 30%) → Plan synthesis</w:t>
            </w:r>
          </w:p>
        </w:tc>
      </w:tr>
      <w:tr>
        <w:tc>
          <w:tcPr>
            <w:tcW w:type="dxa" w:w="2700"/>
            <w:shd w:fill="FFFFFF"/>
          </w:tcPr>
          <w:p>
            <w:r/>
            <w:r>
              <w:rPr>
                <w:rFonts w:ascii="Arial" w:hAnsi="Arial"/>
                <w:sz w:val="18"/>
              </w:rPr>
              <w:t>Verifier</w:t>
            </w:r>
          </w:p>
        </w:tc>
        <w:tc>
          <w:tcPr>
            <w:tcW w:type="dxa" w:w="2700"/>
            <w:shd w:fill="FFFFFF"/>
          </w:tcPr>
          <w:p>
            <w:r/>
            <w:r>
              <w:rPr>
                <w:rFonts w:ascii="Arial" w:hAnsi="Arial"/>
                <w:sz w:val="18"/>
              </w:rPr>
              <w:t>Data quality &amp; claim validation</w:t>
            </w:r>
          </w:p>
        </w:tc>
        <w:tc>
          <w:tcPr>
            <w:tcW w:type="dxa" w:w="2700"/>
            <w:shd w:fill="FFFFFF"/>
          </w:tcPr>
          <w:p>
            <w:r/>
            <w:r>
              <w:rPr>
                <w:rFonts w:ascii="Arial" w:hAnsi="Arial"/>
                <w:sz w:val="18"/>
              </w:rPr>
              <w:t>resolve_terms, find_lacks</w:t>
            </w:r>
          </w:p>
        </w:tc>
        <w:tc>
          <w:tcPr>
            <w:tcW w:type="dxa" w:w="2700"/>
            <w:shd w:fill="FFFFFF"/>
          </w:tcPr>
          <w:p>
            <w:r/>
            <w:r>
              <w:rPr>
                <w:rFonts w:ascii="Arial" w:hAnsi="Arial"/>
                <w:sz w:val="18"/>
              </w:rPr>
              <w:t>Query LACKS edges to find facilities with unsubstantiated capability claims</w:t>
            </w:r>
          </w:p>
        </w:tc>
      </w:tr>
      <w:tr>
        <w:tc>
          <w:tcPr>
            <w:tcW w:type="dxa" w:w="2700"/>
            <w:shd w:fill="F5F5F5"/>
          </w:tcPr>
          <w:p>
            <w:r/>
            <w:r>
              <w:rPr>
                <w:rFonts w:ascii="Arial" w:hAnsi="Arial"/>
                <w:sz w:val="18"/>
              </w:rPr>
              <w:t>RAG Agent</w:t>
            </w:r>
          </w:p>
        </w:tc>
        <w:tc>
          <w:tcPr>
            <w:tcW w:type="dxa" w:w="2700"/>
            <w:shd w:fill="F5F5F5"/>
          </w:tcPr>
          <w:p>
            <w:r/>
            <w:r>
              <w:rPr>
                <w:rFonts w:ascii="Arial" w:hAnsi="Arial"/>
                <w:sz w:val="18"/>
              </w:rPr>
              <w:t>Uploaded document search</w:t>
            </w:r>
          </w:p>
        </w:tc>
        <w:tc>
          <w:tcPr>
            <w:tcW w:type="dxa" w:w="2700"/>
            <w:shd w:fill="F5F5F5"/>
          </w:tcPr>
          <w:p>
            <w:r/>
            <w:r>
              <w:rPr>
                <w:rFonts w:ascii="Arial" w:hAnsi="Arial"/>
                <w:sz w:val="18"/>
              </w:rPr>
              <w:t>ingest_document, query_documents, list_documents</w:t>
            </w:r>
          </w:p>
        </w:tc>
        <w:tc>
          <w:tcPr>
            <w:tcW w:type="dxa" w:w="2700"/>
            <w:shd w:fill="F5F5F5"/>
          </w:tcPr>
          <w:p>
            <w:r/>
            <w:r>
              <w:rPr>
                <w:rFonts w:ascii="Arial" w:hAnsi="Arial"/>
                <w:sz w:val="18"/>
              </w:rPr>
              <w:t>Parse → chunk → embed (text-embedding-3-small) → LanceDB search</w:t>
            </w:r>
          </w:p>
        </w:tc>
      </w:tr>
    </w:tbl>
    <w:p>
      <w:pPr>
        <w:pStyle w:val="Heading2"/>
      </w:pPr>
      <w:r>
        <w:rPr>
          <w:rFonts w:ascii="Arial" w:hAnsi="Arial"/>
          <w:color w:val="000000"/>
        </w:rPr>
        <w:t>Debate Mechanisms</w:t>
      </w:r>
    </w:p>
    <w:p>
      <w:r>
        <w:rPr>
          <w:rFonts w:ascii="Arial" w:hAnsi="Arial"/>
          <w:b w:val="0"/>
          <w:i w:val="0"/>
          <w:sz w:val="20"/>
        </w:rPr>
        <w:t>Two structured debate protocols stress-test agent outputs before presenting results.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2D5F8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Debate</w:t>
            </w:r>
          </w:p>
        </w:tc>
        <w:tc>
          <w:tcPr>
            <w:tcW w:type="dxa" w:w="3600"/>
            <w:shd w:fill="2D5F8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Participants</w:t>
            </w:r>
          </w:p>
        </w:tc>
        <w:tc>
          <w:tcPr>
            <w:tcW w:type="dxa" w:w="3600"/>
            <w:shd w:fill="2D5F8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600"/>
            <w:shd w:fill="F5F5F5"/>
          </w:tcPr>
          <w:p>
            <w:r/>
            <w:r>
              <w:rPr>
                <w:rFonts w:ascii="Arial" w:hAnsi="Arial"/>
                <w:sz w:val="18"/>
              </w:rPr>
              <w:t>Facility Credibility</w:t>
            </w:r>
          </w:p>
        </w:tc>
        <w:tc>
          <w:tcPr>
            <w:tcW w:type="dxa" w:w="3600"/>
            <w:shd w:fill="F5F5F5"/>
          </w:tcPr>
          <w:p>
            <w:r/>
            <w:r>
              <w:rPr>
                <w:rFonts w:ascii="Arial" w:hAnsi="Arial"/>
                <w:sz w:val="18"/>
              </w:rPr>
              <w:t>Advocate (argues claims credible) → Skeptic (flags missing prerequisites, single-source data, aspirational language) → Judge</w:t>
            </w:r>
          </w:p>
        </w:tc>
        <w:tc>
          <w:tcPr>
            <w:tcW w:type="dxa" w:w="3600"/>
            <w:shd w:fill="F5F5F5"/>
          </w:tcPr>
          <w:p>
            <w:r/>
            <w:r>
              <w:rPr>
                <w:rFonts w:ascii="Arial" w:hAnsi="Arial"/>
                <w:sz w:val="18"/>
              </w:rPr>
              <w:t>Verdict: verified | plausible | suspicious | likely_false (0–100 confidence)</w:t>
            </w:r>
          </w:p>
        </w:tc>
      </w:tr>
      <w:tr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sz w:val="18"/>
              </w:rPr>
              <w:t>Mission Planning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sz w:val="18"/>
              </w:rPr>
              <w:t>3 Regional Advocates (each scores Coverage, Readiness, Equity) → Synthesizer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sz w:val="18"/>
              </w:rPr>
              <w:t>Ranked deployment recommendation with tradeoff analysis and unknowns</w:t>
            </w:r>
          </w:p>
        </w:tc>
      </w:tr>
    </w:tbl>
    <w:p>
      <w:pPr>
        <w:pStyle w:val="Heading2"/>
      </w:pPr>
      <w:r>
        <w:rPr>
          <w:rFonts w:ascii="Arial" w:hAnsi="Arial"/>
          <w:color w:val="000000"/>
        </w:rPr>
        <w:t>Tech Stack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00"/>
        <w:gridCol w:w="5400"/>
      </w:tblGrid>
      <w:tr>
        <w:tc>
          <w:tcPr>
            <w:tcW w:type="dxa" w:w="5400"/>
            <w:shd w:fill="2D5F8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400"/>
            <w:shd w:fill="2D5F8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5400"/>
            <w:shd w:fill="F5F5F5"/>
          </w:tcPr>
          <w:p>
            <w:r/>
            <w:r>
              <w:rPr>
                <w:rFonts w:ascii="Arial" w:hAnsi="Arial"/>
                <w:sz w:val="18"/>
              </w:rPr>
              <w:t>Agent Framework</w:t>
            </w:r>
          </w:p>
        </w:tc>
        <w:tc>
          <w:tcPr>
            <w:tcW w:type="dxa" w:w="5400"/>
            <w:shd w:fill="F5F5F5"/>
          </w:tcPr>
          <w:p>
            <w:r/>
            <w:r>
              <w:rPr>
                <w:rFonts w:ascii="Arial" w:hAnsi="Arial"/>
                <w:sz w:val="18"/>
              </w:rPr>
              <w:t>OpenAI Agents SDK (openai-agents)</w:t>
            </w:r>
          </w:p>
        </w:tc>
      </w:tr>
      <w:tr>
        <w:tc>
          <w:tcPr>
            <w:tcW w:type="dxa" w:w="5400"/>
            <w:shd w:fill="FFFFFF"/>
          </w:tcPr>
          <w:p>
            <w:r/>
            <w:r>
              <w:rPr>
                <w:rFonts w:ascii="Arial" w:hAnsi="Arial"/>
                <w:sz w:val="18"/>
              </w:rPr>
              <w:t>LLM</w:t>
            </w:r>
          </w:p>
        </w:tc>
        <w:tc>
          <w:tcPr>
            <w:tcW w:type="dxa" w:w="5400"/>
            <w:shd w:fill="FFFFFF"/>
          </w:tcPr>
          <w:p>
            <w:r/>
            <w:r>
              <w:rPr>
                <w:rFonts w:ascii="Arial" w:hAnsi="Arial"/>
                <w:sz w:val="18"/>
              </w:rPr>
              <w:t>GPT-5.2 (agents), GPT-4o-mini (normalization)</w:t>
            </w:r>
          </w:p>
        </w:tc>
      </w:tr>
      <w:tr>
        <w:tc>
          <w:tcPr>
            <w:tcW w:type="dxa" w:w="5400"/>
            <w:shd w:fill="F5F5F5"/>
          </w:tcPr>
          <w:p>
            <w:r/>
            <w:r>
              <w:rPr>
                <w:rFonts w:ascii="Arial" w:hAnsi="Arial"/>
                <w:sz w:val="18"/>
              </w:rPr>
              <w:t>Knowledge Graph</w:t>
            </w:r>
          </w:p>
        </w:tc>
        <w:tc>
          <w:tcPr>
            <w:tcW w:type="dxa" w:w="5400"/>
            <w:shd w:fill="F5F5F5"/>
          </w:tcPr>
          <w:p>
            <w:r/>
            <w:r>
              <w:rPr>
                <w:rFonts w:ascii="Arial" w:hAnsi="Arial"/>
                <w:sz w:val="18"/>
              </w:rPr>
              <w:t>NetworkX MultiDiGraph (in-memory)</w:t>
            </w:r>
          </w:p>
        </w:tc>
      </w:tr>
      <w:tr>
        <w:tc>
          <w:tcPr>
            <w:tcW w:type="dxa" w:w="5400"/>
            <w:shd w:fill="FFFFFF"/>
          </w:tcPr>
          <w:p>
            <w:r/>
            <w:r>
              <w:rPr>
                <w:rFonts w:ascii="Arial" w:hAnsi="Arial"/>
                <w:sz w:val="18"/>
              </w:rPr>
              <w:t>Vector Store</w:t>
            </w:r>
          </w:p>
        </w:tc>
        <w:tc>
          <w:tcPr>
            <w:tcW w:type="dxa" w:w="5400"/>
            <w:shd w:fill="FFFFFF"/>
          </w:tcPr>
          <w:p>
            <w:r/>
            <w:r>
              <w:rPr>
                <w:rFonts w:ascii="Arial" w:hAnsi="Arial"/>
                <w:sz w:val="18"/>
              </w:rPr>
              <w:t>LanceDB (local) / Databricks Vector Search</w:t>
            </w:r>
          </w:p>
        </w:tc>
      </w:tr>
      <w:tr>
        <w:tc>
          <w:tcPr>
            <w:tcW w:type="dxa" w:w="5400"/>
            <w:shd w:fill="F5F5F5"/>
          </w:tcPr>
          <w:p>
            <w:r/>
            <w:r>
              <w:rPr>
                <w:rFonts w:ascii="Arial" w:hAnsi="Arial"/>
                <w:sz w:val="18"/>
              </w:rPr>
              <w:t>API</w:t>
            </w:r>
          </w:p>
        </w:tc>
        <w:tc>
          <w:tcPr>
            <w:tcW w:type="dxa" w:w="5400"/>
            <w:shd w:fill="F5F5F5"/>
          </w:tcPr>
          <w:p>
            <w:r/>
            <w:r>
              <w:rPr>
                <w:rFonts w:ascii="Arial" w:hAnsi="Arial"/>
                <w:sz w:val="18"/>
              </w:rPr>
              <w:t>FastAPI + Uvicorn, SSE streaming</w:t>
            </w:r>
          </w:p>
        </w:tc>
      </w:tr>
      <w:tr>
        <w:tc>
          <w:tcPr>
            <w:tcW w:type="dxa" w:w="5400"/>
            <w:shd w:fill="FFFFFF"/>
          </w:tcPr>
          <w:p>
            <w:r/>
            <w:r>
              <w:rPr>
                <w:rFonts w:ascii="Arial" w:hAnsi="Arial"/>
                <w:sz w:val="18"/>
              </w:rPr>
              <w:t>Frontend</w:t>
            </w:r>
          </w:p>
        </w:tc>
        <w:tc>
          <w:tcPr>
            <w:tcW w:type="dxa" w:w="5400"/>
            <w:shd w:fill="FFFFFF"/>
          </w:tcPr>
          <w:p>
            <w:r/>
            <w:r>
              <w:rPr>
                <w:rFonts w:ascii="Arial" w:hAnsi="Arial"/>
                <w:sz w:val="18"/>
              </w:rPr>
              <w:t>Next.js + Mapbox</w:t>
            </w:r>
          </w:p>
        </w:tc>
      </w:tr>
      <w:tr>
        <w:tc>
          <w:tcPr>
            <w:tcW w:type="dxa" w:w="5400"/>
            <w:shd w:fill="F5F5F5"/>
          </w:tcPr>
          <w:p>
            <w:r/>
            <w:r>
              <w:rPr>
                <w:rFonts w:ascii="Arial" w:hAnsi="Arial"/>
                <w:sz w:val="18"/>
              </w:rPr>
              <w:t>Data Processing</w:t>
            </w:r>
          </w:p>
        </w:tc>
        <w:tc>
          <w:tcPr>
            <w:tcW w:type="dxa" w:w="5400"/>
            <w:shd w:fill="F5F5F5"/>
          </w:tcPr>
          <w:p>
            <w:r/>
            <w:r>
              <w:rPr>
                <w:rFonts w:ascii="Arial" w:hAnsi="Arial"/>
                <w:sz w:val="18"/>
              </w:rPr>
              <w:t>Pandas, DuckDB, PyArrow</w:t>
            </w:r>
          </w:p>
        </w:tc>
      </w:tr>
      <w:tr>
        <w:tc>
          <w:tcPr>
            <w:tcW w:type="dxa" w:w="5400"/>
            <w:shd w:fill="FFFFFF"/>
          </w:tcPr>
          <w:p>
            <w:r/>
            <w:r>
              <w:rPr>
                <w:rFonts w:ascii="Arial" w:hAnsi="Arial"/>
                <w:sz w:val="18"/>
              </w:rPr>
              <w:t>Geospatial</w:t>
            </w:r>
          </w:p>
        </w:tc>
        <w:tc>
          <w:tcPr>
            <w:tcW w:type="dxa" w:w="5400"/>
            <w:shd w:fill="FFFFFF"/>
          </w:tcPr>
          <w:p>
            <w:r/>
            <w:r>
              <w:rPr>
                <w:rFonts w:ascii="Arial" w:hAnsi="Arial"/>
                <w:sz w:val="18"/>
              </w:rPr>
              <w:t>Geopy, H3</w:t>
            </w:r>
          </w:p>
        </w:tc>
      </w:tr>
    </w:tbl>
    <w:p>
      <w:pPr>
        <w:pStyle w:val="Heading2"/>
      </w:pPr>
      <w:r>
        <w:rPr>
          <w:rFonts w:ascii="Arial" w:hAnsi="Arial"/>
          <w:color w:val="000000"/>
        </w:rPr>
        <w:t>API &amp; Streaming</w:t>
      </w:r>
    </w:p>
    <w:p>
      <w:r>
        <w:rPr>
          <w:rFonts w:ascii="Arial" w:hAnsi="Arial"/>
          <w:b w:val="0"/>
          <w:i w:val="0"/>
          <w:sz w:val="20"/>
        </w:rPr>
        <w:t>FastAPI server with SSE-streamed chat. The /api/chat endpoint returns three event types: trace (tool call metadata for UI side-effects like map zooming), token (incremental LLM text), and final (structured response with mode, citations, map actions, and facility references).</w:t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ScUPcecBjF3P0KN12yEofFrjF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4AHIhMTd1QzJUUTA3aTg2WElMX0tPWGc0bGlRZWpyejRjTj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2026-02-08T12:40:17.083Z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