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2"/>
          <w:szCs w:val="22"/>
        </w:rPr>
        <w:t xml:space="preserve">GOVERNMENT OF SIKKIM</w:t>
      </w:r>
    </w:p>
    <w:p>
      <w:pPr>
        <w:spacing w:after="100"/>
        <w:jc w:val="center"/>
      </w:pPr>
      <w:r>
        <w:rPr>
          <w:b/>
          <w:bCs/>
          <w:sz w:val="22"/>
          <w:szCs w:val="22"/>
        </w:rPr>
        <w:t xml:space="preserve">Sikkim State Pollution Control Board</w:t>
      </w:r>
    </w:p>
    <w:p>
      <w:pPr>
        <w:spacing w:after="400"/>
        <w:jc w:val="center"/>
      </w:pPr>
      <w:r>
        <w:rPr>
          <w:b/>
          <w:bCs/>
          <w:sz w:val="32"/>
          <w:szCs w:val="32"/>
        </w:rPr>
        <w:t xml:space="preserve">Sikkim State E-Waste Management Report</w:t>
      </w:r>
    </w:p>
    <w:p>
      <w:pPr>
        <w:spacing w:after="100"/>
        <w:jc w:val="center"/>
      </w:pPr>
      <w:r>
        <w:rPr>
          <w:sz w:val="22"/>
          <w:szCs w:val="22"/>
        </w:rPr>
        <w:t xml:space="preserve">Reporting Period: FY 2025-26 (01 April 2025 – 31 March 2026)</w:t>
      </w:r>
    </w:p>
    <w:p>
      <w:pPr>
        <w:spacing w:after="100"/>
        <w:jc w:val="center"/>
      </w:pPr>
      <w:r>
        <w:rPr>
          <w:sz w:val="22"/>
          <w:szCs w:val="22"/>
        </w:rPr>
        <w:t xml:space="preserve">Submitted under the E-Waste (Management) Rules, 2022</w:t>
      </w:r>
    </w:p>
    <w:p>
      <w:pPr>
        <w:spacing w:after="100"/>
        <w:jc w:val="center"/>
      </w:pPr>
      <w:r>
        <w:rPr>
          <w:sz w:val="20"/>
          <w:szCs w:val="20"/>
        </w:rPr>
        <w:t xml:space="preserve">Submitting Authority: Sikkim State Pollution Control Board (SSPCB)</w:t>
      </w:r>
    </w:p>
    <w:p>
      <w:pPr>
        <w:spacing w:after="100"/>
        <w:jc w:val="center"/>
      </w:pPr>
      <w:r>
        <w:rPr>
          <w:sz w:val="20"/>
          <w:szCs w:val="20"/>
        </w:rPr>
        <w:t xml:space="preserve">Prepared for: Central Pollution Control Board (CPCB) / Ministry of Environment, Forest and Climate Change (MoEFCC) – National E-Waste Monitoring</w:t>
      </w:r>
    </w:p>
    <w:p>
      <w:pPr>
        <w:spacing w:after="400"/>
        <w:jc w:val="center"/>
      </w:pPr>
      <w:r>
        <w:rPr>
          <w:sz w:val="20"/>
          <w:szCs w:val="20"/>
        </w:rPr>
        <w:t xml:space="preserve">Date of Report Generation: 27 July 2026</w:t>
      </w:r>
    </w:p>
    <w:p>
      <w:pPr>
        <w:spacing w:after="100"/>
      </w:pPr>
      <w:r>
        <w:rPr>
          <w:i/>
          <w:iCs/>
          <w:sz w:val="19"/>
          <w:szCs w:val="19"/>
        </w:rPr>
        <w:t xml:space="preserve">This report has been compiled from the Sikkim State E-Waste Dashboard workbook maintained by SSPCB. Figures are drawn directly from the underlying data sheets; where indicated, values are illustrative/placeholder or could not be computed from the data supplied, and are flagged accordingly and should not be treated as verified departmental records pending confirmation.</w:t>
      </w:r>
    </w:p>
    <w:p>
      <w:r>
        <w:br w:type="page"/>
      </w:r>
    </w:p>
    <w:p>
      <w:pPr>
        <w:pStyle w:val="Heading1"/>
        <w:spacing w:after="150" w:before="300"/>
      </w:pPr>
      <w:r>
        <w:t xml:space="preserve">Table of Contents</w:t>
      </w:r>
    </w:p>
    <w:p>
      <w:pPr>
        <w:tabs>
          <w:tab w:val="right" w:pos="9350" w:leader="dot"/>
        </w:tabs>
        <w:spacing w:after="140"/>
      </w:pPr>
      <w:r>
        <w:rPr>
          <w:sz w:val="21"/>
          <w:szCs w:val="21"/>
        </w:rPr>
        <w:t xml:space="preserve">1. Executive Summary</w:t>
      </w:r>
      <w:r>
        <w:rPr>
          <w:sz w:val="21"/>
          <w:szCs w:val="21"/>
        </w:rPr>
        <w:t xml:space="preserve">	3</w:t>
      </w:r>
    </w:p>
    <w:p>
      <w:pPr>
        <w:tabs>
          <w:tab w:val="right" w:pos="9350" w:leader="dot"/>
        </w:tabs>
        <w:spacing w:after="140"/>
      </w:pPr>
      <w:r>
        <w:rPr>
          <w:sz w:val="21"/>
          <w:szCs w:val="21"/>
        </w:rPr>
        <w:t xml:space="preserve">2. Introduction &amp; Regulatory Context</w:t>
      </w:r>
      <w:r>
        <w:rPr>
          <w:sz w:val="21"/>
          <w:szCs w:val="21"/>
        </w:rPr>
        <w:t xml:space="preserve">	4</w:t>
      </w:r>
    </w:p>
    <w:p>
      <w:pPr>
        <w:tabs>
          <w:tab w:val="right" w:pos="9350" w:leader="dot"/>
        </w:tabs>
        <w:spacing w:after="140"/>
      </w:pPr>
      <w:r>
        <w:rPr>
          <w:sz w:val="21"/>
          <w:szCs w:val="21"/>
        </w:rPr>
        <w:t xml:space="preserve">3. Methodology</w:t>
      </w:r>
      <w:r>
        <w:rPr>
          <w:sz w:val="21"/>
          <w:szCs w:val="21"/>
        </w:rPr>
        <w:t xml:space="preserve">	5</w:t>
      </w:r>
    </w:p>
    <w:p>
      <w:pPr>
        <w:tabs>
          <w:tab w:val="right" w:pos="9350" w:leader="dot"/>
        </w:tabs>
        <w:spacing w:after="140"/>
      </w:pPr>
      <w:r>
        <w:rPr>
          <w:sz w:val="21"/>
          <w:szCs w:val="21"/>
        </w:rPr>
        <w:t xml:space="preserve">4. State E-Waste Generation Profile</w:t>
      </w:r>
      <w:r>
        <w:rPr>
          <w:sz w:val="21"/>
          <w:szCs w:val="21"/>
        </w:rPr>
        <w:t xml:space="preserve">	7</w:t>
      </w:r>
    </w:p>
    <w:p>
      <w:pPr>
        <w:tabs>
          <w:tab w:val="right" w:pos="9350" w:leader="dot"/>
        </w:tabs>
        <w:spacing w:after="140"/>
      </w:pPr>
      <w:r>
        <w:rPr>
          <w:sz w:val="21"/>
          <w:szCs w:val="21"/>
        </w:rPr>
        <w:t xml:space="preserve">5. Collection Performance</w:t>
      </w:r>
      <w:r>
        <w:rPr>
          <w:sz w:val="21"/>
          <w:szCs w:val="21"/>
        </w:rPr>
        <w:t xml:space="preserve">	9</w:t>
      </w:r>
    </w:p>
    <w:p>
      <w:pPr>
        <w:tabs>
          <w:tab w:val="right" w:pos="9350" w:leader="dot"/>
        </w:tabs>
        <w:spacing w:after="140"/>
      </w:pPr>
      <w:r>
        <w:rPr>
          <w:sz w:val="21"/>
          <w:szCs w:val="21"/>
        </w:rPr>
        <w:t xml:space="preserve">6. Formal Recycling &amp; Treatment Infrastructure</w:t>
      </w:r>
      <w:r>
        <w:rPr>
          <w:sz w:val="21"/>
          <w:szCs w:val="21"/>
        </w:rPr>
        <w:t xml:space="preserve">	10</w:t>
      </w:r>
    </w:p>
    <w:p>
      <w:pPr>
        <w:tabs>
          <w:tab w:val="right" w:pos="9350" w:leader="dot"/>
        </w:tabs>
        <w:spacing w:after="140"/>
      </w:pPr>
      <w:r>
        <w:rPr>
          <w:sz w:val="21"/>
          <w:szCs w:val="21"/>
        </w:rPr>
        <w:t xml:space="preserve">7. Regulatory Compliance</w:t>
      </w:r>
      <w:r>
        <w:rPr>
          <w:sz w:val="21"/>
          <w:szCs w:val="21"/>
        </w:rPr>
        <w:t xml:space="preserve">	11</w:t>
      </w:r>
    </w:p>
    <w:p>
      <w:pPr>
        <w:tabs>
          <w:tab w:val="right" w:pos="9350" w:leader="dot"/>
        </w:tabs>
        <w:spacing w:after="140"/>
      </w:pPr>
      <w:r>
        <w:rPr>
          <w:sz w:val="21"/>
          <w:szCs w:val="21"/>
        </w:rPr>
        <w:t xml:space="preserve">8. Informal Sector Integration</w:t>
      </w:r>
      <w:r>
        <w:rPr>
          <w:sz w:val="21"/>
          <w:szCs w:val="21"/>
        </w:rPr>
        <w:t xml:space="preserve">	12</w:t>
      </w:r>
    </w:p>
    <w:p>
      <w:pPr>
        <w:tabs>
          <w:tab w:val="right" w:pos="9350" w:leader="dot"/>
        </w:tabs>
        <w:spacing w:after="140"/>
      </w:pPr>
      <w:r>
        <w:rPr>
          <w:sz w:val="21"/>
          <w:szCs w:val="21"/>
        </w:rPr>
        <w:t xml:space="preserve">9. Environmental &amp; Health Safeguards</w:t>
      </w:r>
      <w:r>
        <w:rPr>
          <w:sz w:val="21"/>
          <w:szCs w:val="21"/>
        </w:rPr>
        <w:t xml:space="preserve">	13</w:t>
      </w:r>
    </w:p>
    <w:p>
      <w:pPr>
        <w:tabs>
          <w:tab w:val="right" w:pos="9350" w:leader="dot"/>
        </w:tabs>
        <w:spacing w:after="140"/>
      </w:pPr>
      <w:r>
        <w:rPr>
          <w:sz w:val="21"/>
          <w:szCs w:val="21"/>
        </w:rPr>
        <w:t xml:space="preserve">10. Awareness &amp; Outreach</w:t>
      </w:r>
      <w:r>
        <w:rPr>
          <w:sz w:val="21"/>
          <w:szCs w:val="21"/>
        </w:rPr>
        <w:t xml:space="preserve">	14</w:t>
      </w:r>
    </w:p>
    <w:p>
      <w:pPr>
        <w:tabs>
          <w:tab w:val="right" w:pos="9350" w:leader="dot"/>
        </w:tabs>
        <w:spacing w:after="140"/>
      </w:pPr>
      <w:r>
        <w:rPr>
          <w:sz w:val="21"/>
          <w:szCs w:val="21"/>
        </w:rPr>
        <w:t xml:space="preserve">11. Consolidated Scorecard</w:t>
      </w:r>
      <w:r>
        <w:rPr>
          <w:sz w:val="21"/>
          <w:szCs w:val="21"/>
        </w:rPr>
        <w:t xml:space="preserve">	15</w:t>
      </w:r>
    </w:p>
    <w:p>
      <w:pPr>
        <w:tabs>
          <w:tab w:val="right" w:pos="9350" w:leader="dot"/>
        </w:tabs>
        <w:spacing w:after="140"/>
      </w:pPr>
      <w:r>
        <w:rPr>
          <w:sz w:val="21"/>
          <w:szCs w:val="21"/>
        </w:rPr>
        <w:t xml:space="preserve">12. Key Findings &amp; Gap Analysis</w:t>
      </w:r>
      <w:r>
        <w:rPr>
          <w:sz w:val="21"/>
          <w:szCs w:val="21"/>
        </w:rPr>
        <w:t xml:space="preserve">	16</w:t>
      </w:r>
    </w:p>
    <w:p>
      <w:pPr>
        <w:tabs>
          <w:tab w:val="right" w:pos="9350" w:leader="dot"/>
        </w:tabs>
        <w:spacing w:after="140"/>
      </w:pPr>
      <w:r>
        <w:rPr>
          <w:sz w:val="21"/>
          <w:szCs w:val="21"/>
        </w:rPr>
        <w:t xml:space="preserve">13. Recommendations</w:t>
      </w:r>
      <w:r>
        <w:rPr>
          <w:sz w:val="21"/>
          <w:szCs w:val="21"/>
        </w:rPr>
        <w:t xml:space="preserve">	17</w:t>
      </w:r>
    </w:p>
    <w:p>
      <w:pPr>
        <w:tabs>
          <w:tab w:val="right" w:pos="9350" w:leader="dot"/>
        </w:tabs>
        <w:spacing w:after="140"/>
      </w:pPr>
      <w:r>
        <w:rPr>
          <w:sz w:val="21"/>
          <w:szCs w:val="21"/>
        </w:rPr>
        <w:t xml:space="preserve">14. Annexures – Full Raw Data Tables</w:t>
      </w:r>
      <w:r>
        <w:rPr>
          <w:sz w:val="21"/>
          <w:szCs w:val="21"/>
        </w:rPr>
        <w:t xml:space="preserve">	18</w:t>
      </w:r>
    </w:p>
    <w:p>
      <w:r>
        <w:br w:type="page"/>
      </w:r>
    </w:p>
    <w:p>
      <w:pPr>
        <w:pStyle w:val="Heading1"/>
        <w:spacing w:after="150" w:before="300"/>
      </w:pPr>
      <w:r>
        <w:t xml:space="preserve">1. Executive Summary</w:t>
      </w:r>
    </w:p>
    <w:p>
      <w:pPr>
        <w:spacing w:after="160"/>
      </w:pPr>
      <w:r>
        <w:t xml:space="preserve">This report presents the consolidated e-waste management performance of the State of Sikkim for the reporting period FY 2025-26, compiled from the Sikkim State E-Waste Dashboard workbook maintained by the Sikkim State Pollution Control Board (SSPCB), covering generation, collection, formal recycling, regulatory compliance, informal sector integration, environmental and health safeguards, and awareness outreach, in accordance with the E-Waste (Management) Rules, 2022.</w:t>
      </w:r>
    </w:p>
    <w:p>
      <w:pPr>
        <w:spacing w:after="160"/>
      </w:pPr>
      <w:r>
        <w:t xml:space="preserve">Based on the seven weighted performance categories detailed in Section 11 (Consolidated Scorecard), the State of Sikkim achieves a computed State E-Waste Management Score of </w:t>
      </w:r>
      <w:r>
        <w:rPr>
          <w:b/>
          <w:bCs/>
        </w:rPr>
        <w:t xml:space="preserve">47.34 out of 100</w:t>
      </w:r>
      <w:r>
        <w:t xml:space="preserve">, placing it in the "</w:t>
      </w:r>
      <w:r>
        <w:rPr>
          <w:b/>
          <w:bCs/>
        </w:rPr>
        <w:t xml:space="preserve">Needs Improvement</w:t>
      </w:r>
      <w:r>
        <w:t xml:space="preserve">" performance band (Score Bands: 85-100 Excellent, 65-84 Good, 45-64 Needs Improvement, 0-44 Critical, as defined in the 0_Scorecard sheet).</w:t>
      </w:r>
    </w:p>
    <w:p>
      <w:pPr>
        <w:spacing w:after="160"/>
      </w:pPr>
      <w:r>
        <w:t xml:space="preserve">Key strengths and gaps across the seven scored categories are summarised below:</w:t>
      </w:r>
    </w:p>
    <w:p>
      <w:pPr>
        <w:pStyle w:val="ListParagraph"/>
        <w:numPr>
          <w:ilvl w:val="0"/>
          <w:numId w:val="2"/>
        </w:numPr>
        <w:spacing w:after="80"/>
      </w:pPr>
      <w:r>
        <w:rPr>
          <w:b/>
          <w:bCs/>
        </w:rPr>
        <w:t xml:space="preserve">Strength – Generation &amp; Inventory (Weight 15%): </w:t>
      </w:r>
      <w:r>
        <w:t xml:space="preserve">Achievement of 100%, contributing 15.00 of 15 points. 6/6 districts reporting complete (100%).</w:t>
      </w:r>
    </w:p>
    <w:p>
      <w:pPr>
        <w:pStyle w:val="ListParagraph"/>
        <w:numPr>
          <w:ilvl w:val="0"/>
          <w:numId w:val="2"/>
        </w:numPr>
        <w:spacing w:after="80"/>
      </w:pPr>
      <w:r>
        <w:rPr>
          <w:b/>
          <w:bCs/>
        </w:rPr>
        <w:t xml:space="preserve">Strength – Regulatory Compliance (Weight 15%): </w:t>
      </w:r>
      <w:r>
        <w:t xml:space="preserve">Achievement of 50%, contributing 7.50 of 15 points. 1 of 2 registered EPR entities compliant.</w:t>
      </w:r>
    </w:p>
    <w:p>
      <w:pPr>
        <w:pStyle w:val="ListParagraph"/>
        <w:numPr>
          <w:ilvl w:val="0"/>
          <w:numId w:val="2"/>
        </w:numPr>
        <w:spacing w:after="80"/>
      </w:pPr>
      <w:r>
        <w:rPr>
          <w:b/>
          <w:bCs/>
        </w:rPr>
        <w:t xml:space="preserve">Gap (unverified, vacuous score) – Informal Sector Integration (Weight 10%): </w:t>
      </w:r>
      <w:r>
        <w:t xml:space="preserve">Achievement of 100%, contributing 10.00 of 10 points, based on zero informal hotspots/workers identified in the submitted data — this reflects an absence of recorded informal-sector data rather than a confirmed field survey (see Section 8 and flags below).</w:t>
      </w:r>
    </w:p>
    <w:p>
      <w:pPr>
        <w:pStyle w:val="ListParagraph"/>
        <w:numPr>
          <w:ilvl w:val="0"/>
          <w:numId w:val="2"/>
        </w:numPr>
        <w:spacing w:after="80"/>
      </w:pPr>
      <w:r>
        <w:rPr>
          <w:b/>
          <w:bCs/>
        </w:rPr>
        <w:t xml:space="preserve">Gap (unverified, vacuous score) – Environmental &amp; Health Safeguards (Weight 10%): </w:t>
      </w:r>
      <w:r>
        <w:t xml:space="preserve">Achievement of 100%, contributing 10.00 of 10 points, based on zero identified hotspots requiring monitoring — the two recorded monitoring entries are general ambient air/water stations (NAMP/NWMP), not e-waste-hotspot-specific visits, and zero e-waste health camps were conducted (see Section 9).</w:t>
      </w:r>
    </w:p>
    <w:p>
      <w:pPr>
        <w:pStyle w:val="ListParagraph"/>
        <w:numPr>
          <w:ilvl w:val="0"/>
          <w:numId w:val="2"/>
        </w:numPr>
        <w:spacing w:after="80"/>
      </w:pPr>
      <w:r>
        <w:rPr>
          <w:b/>
          <w:bCs/>
        </w:rPr>
        <w:t xml:space="preserve">Gap – Formal Recycling &amp; Treatment (Weight 20%): </w:t>
      </w:r>
      <w:r>
        <w:t xml:space="preserve">Achievement of 0%, contributing 0.00 of 20 points. Sikkim has no in-state authorised recycling/dismantling facility; the sole recorded arrangement transports e-waste to West Bengal, and no material recovery rate was reported ("N/A"), so this indicator could not be computed from the data supplied (see Section 6).</w:t>
      </w:r>
    </w:p>
    <w:p>
      <w:pPr>
        <w:pStyle w:val="ListParagraph"/>
        <w:numPr>
          <w:ilvl w:val="0"/>
          <w:numId w:val="2"/>
        </w:numPr>
        <w:spacing w:after="80"/>
      </w:pPr>
      <w:r>
        <w:rPr>
          <w:b/>
          <w:bCs/>
        </w:rPr>
        <w:t xml:space="preserve">Gap – Collection Performance (Weight 20%): </w:t>
      </w:r>
      <w:r>
        <w:t xml:space="preserve">Achievement of only 19.18%, contributing 3.84 of 20 points. 19.18% state collection rate.</w:t>
      </w:r>
    </w:p>
    <w:p>
      <w:pPr>
        <w:pStyle w:val="ListParagraph"/>
        <w:numPr>
          <w:ilvl w:val="0"/>
          <w:numId w:val="2"/>
        </w:numPr>
        <w:spacing w:after="80"/>
      </w:pPr>
      <w:r>
        <w:rPr>
          <w:b/>
          <w:bCs/>
        </w:rPr>
        <w:t xml:space="preserve">Gap – Awareness &amp; Outreach (Weight 10%): </w:t>
      </w:r>
      <w:r>
        <w:t xml:space="preserve">Achievement of only 10%, contributing 1.00 of 10 points. 2 programs conducted against a 20-programs/year benchmark.</w:t>
      </w:r>
    </w:p>
    <w:p>
      <w:pPr>
        <w:spacing w:after="160"/>
      </w:pPr>
      <w:r>
        <w:rPr>
          <w:i/>
          <w:iCs/>
          <w:color w:val="555555"/>
          <w:sz w:val="19"/>
          <w:szCs w:val="19"/>
        </w:rPr>
        <w:t xml:space="preserve">The State Score components above are computed directly from the seven data sheets of the Sikkim State E-Waste Dashboard workbook. The workbook's own scorecard formula cells (Achieved Value / Achievement % / Score Earned) were blank in the version supplied for this report; the values shown here have been recomputed from the underlying district-, entity-, and site-level data using the category definitions and weights stated on the workbook's "Instructions" and "0_Scorecard" sheets. Two categories (Informal Sector Integration and Environmental &amp; Health Safeguards) required a methodological judgement call because the underlying counts are zero (0/0); this is flagged explicitly in Sections 3, 8, 9, and 12. Category 3 (Formal Recycling &amp; Treatment) could not be computed because the sole recycling arrangement reports its material recovery rate as "N/A"; it has conservatively been scored as 0% pending data, and is flagged as the single highest-priority gap in this report.</w:t>
      </w:r>
    </w:p>
    <w:p>
      <w:r>
        <w:br w:type="page"/>
      </w:r>
    </w:p>
    <w:p>
      <w:pPr>
        <w:pStyle w:val="Heading1"/>
        <w:spacing w:after="150" w:before="300"/>
      </w:pPr>
      <w:r>
        <w:t xml:space="preserve">2. Introduction &amp; Regulatory Context</w:t>
      </w:r>
    </w:p>
    <w:p>
      <w:pPr>
        <w:pStyle w:val="Heading2"/>
        <w:spacing w:after="120" w:before="240"/>
      </w:pPr>
      <w:r>
        <w:t xml:space="preserve">2.1 Regulatory Framework</w:t>
      </w:r>
    </w:p>
    <w:p>
      <w:pPr>
        <w:spacing w:after="160"/>
      </w:pPr>
      <w:r>
        <w:t xml:space="preserve">The E-Waste (Management) Rules, 2022, notified by the Ministry of Environment, Forest and Climate Change (MoEFCC), govern the environmentally sound management of electrical and electronic equipment waste in India. The Rules establish an Extended Producer Responsibility (EPR) framework under which producers of electrical and electronic equipment (EEE) are required to meet annual e-waste collection and recycling targets, either directly or through authorised Producer Responsibility Organisations (PROs), registered on the CPCB EPR Portal. The Rules also mandate registration and authorisation of recyclers, refurbishers, and dismantlers; prescribe environmentally sound management practices; and require State Pollution Control Boards (SPCBs) / Pollution Control Committees (PCCs) to monitor compliance, oversee informal sector integration, and report periodically to the CPCB and MoEFCC.</w:t>
      </w:r>
    </w:p>
    <w:p>
      <w:pPr>
        <w:pStyle w:val="Heading2"/>
        <w:spacing w:after="120" w:before="240"/>
      </w:pPr>
      <w:r>
        <w:t xml:space="preserve">2.2 Scope of this Report</w:t>
      </w:r>
    </w:p>
    <w:p>
      <w:pPr>
        <w:spacing w:after="160"/>
      </w:pPr>
      <w:r>
        <w:t xml:space="preserve">This report consolidates Sikkim's state-level e-waste management performance for the reporting period FY 2025-26 across seven functional areas, each corresponding to a dedicated data sheet in the Sikkim State E-Waste Dashboard workbook:</w:t>
      </w:r>
    </w:p>
    <w:p>
      <w:pPr>
        <w:pStyle w:val="ListParagraph"/>
        <w:numPr>
          <w:ilvl w:val="0"/>
          <w:numId w:val="2"/>
        </w:numPr>
        <w:spacing w:after="80"/>
      </w:pPr>
      <w:r>
        <w:t xml:space="preserve">Generation &amp; Inventory – district-wise e-waste generation by equipment category (Sheet: 1_Generation_Inventory)</w:t>
      </w:r>
    </w:p>
    <w:p>
      <w:pPr>
        <w:pStyle w:val="ListParagraph"/>
        <w:numPr>
          <w:ilvl w:val="0"/>
          <w:numId w:val="2"/>
        </w:numPr>
        <w:spacing w:after="80"/>
      </w:pPr>
      <w:r>
        <w:t xml:space="preserve">Collection Performance – district-wise collection against generation and EPR targets (Sheet: 2_Collection_Log)</w:t>
      </w:r>
    </w:p>
    <w:p>
      <w:pPr>
        <w:pStyle w:val="ListParagraph"/>
        <w:numPr>
          <w:ilvl w:val="0"/>
          <w:numId w:val="2"/>
        </w:numPr>
        <w:spacing w:after="80"/>
      </w:pPr>
      <w:r>
        <w:t xml:space="preserve">Formal Recycling &amp; Treatment – authorised recycler/dismantler capacity and throughput (Sheet: 3_Recycling_Infrastructure)</w:t>
      </w:r>
    </w:p>
    <w:p>
      <w:pPr>
        <w:pStyle w:val="ListParagraph"/>
        <w:numPr>
          <w:ilvl w:val="0"/>
          <w:numId w:val="2"/>
        </w:numPr>
        <w:spacing w:after="80"/>
      </w:pPr>
      <w:r>
        <w:t xml:space="preserve">Regulatory Compliance – producer/EPR entity compliance status, inspections, and penalties (Sheet: 4_Compliance_Tracker)</w:t>
      </w:r>
    </w:p>
    <w:p>
      <w:pPr>
        <w:pStyle w:val="ListParagraph"/>
        <w:numPr>
          <w:ilvl w:val="0"/>
          <w:numId w:val="2"/>
        </w:numPr>
        <w:spacing w:after="80"/>
      </w:pPr>
      <w:r>
        <w:t xml:space="preserve">Informal Sector Integration – informal cluster identification and formalisation (Sheet: 5_Informal_Sector_Hotspots)</w:t>
      </w:r>
    </w:p>
    <w:p>
      <w:pPr>
        <w:pStyle w:val="ListParagraph"/>
        <w:numPr>
          <w:ilvl w:val="0"/>
          <w:numId w:val="2"/>
        </w:numPr>
        <w:spacing w:after="80"/>
      </w:pPr>
      <w:r>
        <w:t xml:space="preserve">Environmental &amp; Health Safeguards – site monitoring and health camps (Sheet: 6_Env_Health_Monitoring)</w:t>
      </w:r>
    </w:p>
    <w:p>
      <w:pPr>
        <w:pStyle w:val="ListParagraph"/>
        <w:numPr>
          <w:ilvl w:val="0"/>
          <w:numId w:val="2"/>
        </w:numPr>
        <w:spacing w:after="80"/>
      </w:pPr>
      <w:r>
        <w:t xml:space="preserve">Awareness &amp; Outreach – public awareness campaigns and collection drives (Sheet: 7_Awareness_Programs)</w:t>
      </w:r>
    </w:p>
    <w:p>
      <w:pPr>
        <w:spacing w:after="160"/>
      </w:pPr>
      <w:r>
        <w:t xml:space="preserve">The report is intended for submission by SSPCB to the CPCB / MoEFCC for national-level review and monitoring of state performance under the E-Waste (Management) Rules, 2022.</w:t>
      </w:r>
    </w:p>
    <w:p>
      <w:r>
        <w:br w:type="page"/>
      </w:r>
    </w:p>
    <w:p>
      <w:pPr>
        <w:pStyle w:val="Heading1"/>
        <w:spacing w:after="150" w:before="300"/>
      </w:pPr>
      <w:r>
        <w:t xml:space="preserve">3. Methodology</w:t>
      </w:r>
    </w:p>
    <w:p>
      <w:pPr>
        <w:pStyle w:val="Heading2"/>
        <w:spacing w:after="120" w:before="240"/>
      </w:pPr>
      <w:r>
        <w:t xml:space="preserve">3.1 State Score Calculation</w:t>
      </w:r>
    </w:p>
    <w:p>
      <w:pPr>
        <w:spacing w:after="160"/>
      </w:pPr>
      <w:r>
        <w:t xml:space="preserve">The overall State E-Waste Management Score (out of 100) is calculated as the weighted sum of seven category-level achievement percentages, using the weights and benchmarks defined on the "0_Scorecard" sheet of the Sikkim State E-Waste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400"/>
        <w:gridCol w:w="3500"/>
      </w:tblGrid>
      <w:tr>
        <w:trPr>
          <w:tblHeader/>
        </w:trPr>
        <w:tc>
          <w:tcPr>
            <w:tcW w:type="dxa" w:w="700"/>
            <w:shd w:fill="D9D9D9" w:val="clear"/>
            <w:tcMar>
              <w:top w:type="dxa" w:w="60"/>
              <w:left w:type="dxa" w:w="100"/>
              <w:bottom w:type="dxa" w:w="60"/>
              <w:right w:type="dxa" w:w="100"/>
            </w:tcMar>
            <w:vAlign w:val="center"/>
          </w:tcPr>
          <w:p>
            <w:pPr>
              <w:jc w:val="left"/>
            </w:pPr>
            <w:r>
              <w:rPr>
                <w:b/>
                <w:bCs/>
                <w:sz w:val="19"/>
                <w:szCs w:val="19"/>
              </w:rPr>
              <w:t xml:space="preserve">#</w:t>
            </w:r>
          </w:p>
        </w:tc>
        <w:tc>
          <w:tcPr>
            <w:tcW w:type="dxa" w:w="3400"/>
            <w:shd w:fill="D9D9D9" w:val="clear"/>
            <w:tcMar>
              <w:top w:type="dxa" w:w="60"/>
              <w:left w:type="dxa" w:w="100"/>
              <w:bottom w:type="dxa" w:w="60"/>
              <w:right w:type="dxa" w:w="100"/>
            </w:tcMar>
            <w:vAlign w:val="center"/>
          </w:tcPr>
          <w:p>
            <w:pPr>
              <w:jc w:val="left"/>
            </w:pPr>
            <w:r>
              <w:rPr>
                <w:b/>
                <w:bCs/>
                <w:sz w:val="19"/>
                <w:szCs w:val="19"/>
              </w:rPr>
              <w:t xml:space="preserve">Category</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Weight</w:t>
            </w:r>
          </w:p>
        </w:tc>
        <w:tc>
          <w:tcPr>
            <w:tcW w:type="dxa" w:w="3500"/>
            <w:shd w:fill="D9D9D9" w:val="clear"/>
            <w:tcMar>
              <w:top w:type="dxa" w:w="60"/>
              <w:left w:type="dxa" w:w="100"/>
              <w:bottom w:type="dxa" w:w="60"/>
              <w:right w:type="dxa" w:w="100"/>
            </w:tcMar>
            <w:vAlign w:val="center"/>
          </w:tcPr>
          <w:p>
            <w:pPr>
              <w:jc w:val="left"/>
            </w:pPr>
            <w:r>
              <w:rPr>
                <w:b/>
                <w:bCs/>
                <w:sz w:val="19"/>
                <w:szCs w:val="19"/>
              </w:rPr>
              <w:t xml:space="preserve">Primary Data Source Sheet</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1</w:t>
            </w:r>
          </w:p>
        </w:tc>
        <w:tc>
          <w:tcPr>
            <w:tcW w:type="dxa" w:w="3400"/>
            <w:tcMar>
              <w:top w:type="dxa" w:w="60"/>
              <w:left w:type="dxa" w:w="100"/>
              <w:bottom w:type="dxa" w:w="60"/>
              <w:right w:type="dxa" w:w="100"/>
            </w:tcMar>
            <w:vAlign w:val="center"/>
          </w:tcPr>
          <w:p>
            <w:pPr>
              <w:jc w:val="center"/>
            </w:pPr>
            <w:r>
              <w:rPr>
                <w:b w:val="false"/>
                <w:bCs w:val="false"/>
                <w:sz w:val="19"/>
                <w:szCs w:val="19"/>
              </w:rPr>
              <w:t xml:space="preserve">Generation &amp; Inventory</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15%</w:t>
            </w:r>
          </w:p>
        </w:tc>
        <w:tc>
          <w:tcPr>
            <w:tcW w:type="dxa" w:w="3500"/>
            <w:tcMar>
              <w:top w:type="dxa" w:w="60"/>
              <w:left w:type="dxa" w:w="100"/>
              <w:bottom w:type="dxa" w:w="60"/>
              <w:right w:type="dxa" w:w="100"/>
            </w:tcMar>
            <w:vAlign w:val="center"/>
          </w:tcPr>
          <w:p>
            <w:pPr>
              <w:jc w:val="center"/>
            </w:pPr>
            <w:r>
              <w:rPr>
                <w:b w:val="false"/>
                <w:bCs w:val="false"/>
                <w:sz w:val="19"/>
                <w:szCs w:val="19"/>
              </w:rPr>
              <w:t xml:space="preserve">1_Generation_Inventory</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2</w:t>
            </w:r>
          </w:p>
        </w:tc>
        <w:tc>
          <w:tcPr>
            <w:tcW w:type="dxa" w:w="3400"/>
            <w:tcMar>
              <w:top w:type="dxa" w:w="60"/>
              <w:left w:type="dxa" w:w="100"/>
              <w:bottom w:type="dxa" w:w="60"/>
              <w:right w:type="dxa" w:w="100"/>
            </w:tcMar>
            <w:vAlign w:val="center"/>
          </w:tcPr>
          <w:p>
            <w:pPr>
              <w:jc w:val="center"/>
            </w:pPr>
            <w:r>
              <w:rPr>
                <w:b w:val="false"/>
                <w:bCs w:val="false"/>
                <w:sz w:val="19"/>
                <w:szCs w:val="19"/>
              </w:rPr>
              <w:t xml:space="preserve">Collection Performance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w:t>
            </w:r>
          </w:p>
        </w:tc>
        <w:tc>
          <w:tcPr>
            <w:tcW w:type="dxa" w:w="3500"/>
            <w:tcMar>
              <w:top w:type="dxa" w:w="60"/>
              <w:left w:type="dxa" w:w="100"/>
              <w:bottom w:type="dxa" w:w="60"/>
              <w:right w:type="dxa" w:w="100"/>
            </w:tcMar>
            <w:vAlign w:val="center"/>
          </w:tcPr>
          <w:p>
            <w:pPr>
              <w:jc w:val="center"/>
            </w:pPr>
            <w:r>
              <w:rPr>
                <w:b w:val="false"/>
                <w:bCs w:val="false"/>
                <w:sz w:val="19"/>
                <w:szCs w:val="19"/>
              </w:rPr>
              <w:t xml:space="preserve">2_Collection_Log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3</w:t>
            </w:r>
          </w:p>
        </w:tc>
        <w:tc>
          <w:tcPr>
            <w:tcW w:type="dxa" w:w="3400"/>
            <w:tcMar>
              <w:top w:type="dxa" w:w="60"/>
              <w:left w:type="dxa" w:w="100"/>
              <w:bottom w:type="dxa" w:w="60"/>
              <w:right w:type="dxa" w:w="100"/>
            </w:tcMar>
            <w:vAlign w:val="center"/>
          </w:tcPr>
          <w:p>
            <w:pPr>
              <w:jc w:val="center"/>
            </w:pPr>
            <w:r>
              <w:rPr>
                <w:b w:val="false"/>
                <w:bCs w:val="false"/>
                <w:sz w:val="19"/>
                <w:szCs w:val="19"/>
              </w:rPr>
              <w:t xml:space="preserve">Formal Recycling &amp; Treatment</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w:t>
            </w:r>
          </w:p>
        </w:tc>
        <w:tc>
          <w:tcPr>
            <w:tcW w:type="dxa" w:w="3500"/>
            <w:tcMar>
              <w:top w:type="dxa" w:w="60"/>
              <w:left w:type="dxa" w:w="100"/>
              <w:bottom w:type="dxa" w:w="60"/>
              <w:right w:type="dxa" w:w="100"/>
            </w:tcMar>
            <w:vAlign w:val="center"/>
          </w:tcPr>
          <w:p>
            <w:pPr>
              <w:jc w:val="center"/>
            </w:pPr>
            <w:r>
              <w:rPr>
                <w:b w:val="false"/>
                <w:bCs w:val="false"/>
                <w:sz w:val="19"/>
                <w:szCs w:val="19"/>
              </w:rPr>
              <w:t xml:space="preserve">3_Recycling_Infrastructure</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4</w:t>
            </w:r>
          </w:p>
        </w:tc>
        <w:tc>
          <w:tcPr>
            <w:tcW w:type="dxa" w:w="3400"/>
            <w:tcMar>
              <w:top w:type="dxa" w:w="60"/>
              <w:left w:type="dxa" w:w="100"/>
              <w:bottom w:type="dxa" w:w="60"/>
              <w:right w:type="dxa" w:w="100"/>
            </w:tcMar>
            <w:vAlign w:val="center"/>
          </w:tcPr>
          <w:p>
            <w:pPr>
              <w:jc w:val="center"/>
            </w:pPr>
            <w:r>
              <w:rPr>
                <w:b w:val="false"/>
                <w:bCs w:val="false"/>
                <w:sz w:val="19"/>
                <w:szCs w:val="19"/>
              </w:rPr>
              <w:t xml:space="preserve">Regulatory Compliance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15%</w:t>
            </w:r>
          </w:p>
        </w:tc>
        <w:tc>
          <w:tcPr>
            <w:tcW w:type="dxa" w:w="3500"/>
            <w:tcMar>
              <w:top w:type="dxa" w:w="60"/>
              <w:left w:type="dxa" w:w="100"/>
              <w:bottom w:type="dxa" w:w="60"/>
              <w:right w:type="dxa" w:w="100"/>
            </w:tcMar>
            <w:vAlign w:val="center"/>
          </w:tcPr>
          <w:p>
            <w:pPr>
              <w:jc w:val="center"/>
            </w:pPr>
            <w:r>
              <w:rPr>
                <w:b w:val="false"/>
                <w:bCs w:val="false"/>
                <w:sz w:val="19"/>
                <w:szCs w:val="19"/>
              </w:rPr>
              <w:t xml:space="preserve">4_Compliance_Tracker</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5</w:t>
            </w:r>
          </w:p>
        </w:tc>
        <w:tc>
          <w:tcPr>
            <w:tcW w:type="dxa" w:w="3400"/>
            <w:tcMar>
              <w:top w:type="dxa" w:w="60"/>
              <w:left w:type="dxa" w:w="100"/>
              <w:bottom w:type="dxa" w:w="60"/>
              <w:right w:type="dxa" w:w="100"/>
            </w:tcMar>
            <w:vAlign w:val="center"/>
          </w:tcPr>
          <w:p>
            <w:pPr>
              <w:jc w:val="center"/>
            </w:pPr>
            <w:r>
              <w:rPr>
                <w:b w:val="false"/>
                <w:bCs w:val="false"/>
                <w:sz w:val="19"/>
                <w:szCs w:val="19"/>
              </w:rPr>
              <w:t xml:space="preserve">Informal Sector Integration</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3500"/>
            <w:tcMar>
              <w:top w:type="dxa" w:w="60"/>
              <w:left w:type="dxa" w:w="100"/>
              <w:bottom w:type="dxa" w:w="60"/>
              <w:right w:type="dxa" w:w="100"/>
            </w:tcMar>
            <w:vAlign w:val="center"/>
          </w:tcPr>
          <w:p>
            <w:pPr>
              <w:jc w:val="center"/>
            </w:pPr>
            <w:r>
              <w:rPr>
                <w:b w:val="false"/>
                <w:bCs w:val="false"/>
                <w:sz w:val="19"/>
                <w:szCs w:val="19"/>
              </w:rPr>
              <w:t xml:space="preserve">5_Informal_Sector_Hotspots</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6</w:t>
            </w:r>
          </w:p>
        </w:tc>
        <w:tc>
          <w:tcPr>
            <w:tcW w:type="dxa" w:w="3400"/>
            <w:tcMar>
              <w:top w:type="dxa" w:w="60"/>
              <w:left w:type="dxa" w:w="100"/>
              <w:bottom w:type="dxa" w:w="60"/>
              <w:right w:type="dxa" w:w="100"/>
            </w:tcMar>
            <w:vAlign w:val="center"/>
          </w:tcPr>
          <w:p>
            <w:pPr>
              <w:jc w:val="center"/>
            </w:pPr>
            <w:r>
              <w:rPr>
                <w:b w:val="false"/>
                <w:bCs w:val="false"/>
                <w:sz w:val="19"/>
                <w:szCs w:val="19"/>
              </w:rPr>
              <w:t xml:space="preserve">Environmental &amp; Health Safeguards</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3500"/>
            <w:tcMar>
              <w:top w:type="dxa" w:w="60"/>
              <w:left w:type="dxa" w:w="100"/>
              <w:bottom w:type="dxa" w:w="60"/>
              <w:right w:type="dxa" w:w="100"/>
            </w:tcMar>
            <w:vAlign w:val="center"/>
          </w:tcPr>
          <w:p>
            <w:pPr>
              <w:jc w:val="center"/>
            </w:pPr>
            <w:r>
              <w:rPr>
                <w:b w:val="false"/>
                <w:bCs w:val="false"/>
                <w:sz w:val="19"/>
                <w:szCs w:val="19"/>
              </w:rPr>
              <w:t xml:space="preserve">6_Env_Health_Monitoring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7</w:t>
            </w:r>
          </w:p>
        </w:tc>
        <w:tc>
          <w:tcPr>
            <w:tcW w:type="dxa" w:w="3400"/>
            <w:tcMar>
              <w:top w:type="dxa" w:w="60"/>
              <w:left w:type="dxa" w:w="100"/>
              <w:bottom w:type="dxa" w:w="60"/>
              <w:right w:type="dxa" w:w="100"/>
            </w:tcMar>
            <w:vAlign w:val="center"/>
          </w:tcPr>
          <w:p>
            <w:pPr>
              <w:jc w:val="center"/>
            </w:pPr>
            <w:r>
              <w:rPr>
                <w:b w:val="false"/>
                <w:bCs w:val="false"/>
                <w:sz w:val="19"/>
                <w:szCs w:val="19"/>
              </w:rPr>
              <w:t xml:space="preserve">Awareness &amp; Outreach</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3500"/>
            <w:tcMar>
              <w:top w:type="dxa" w:w="60"/>
              <w:left w:type="dxa" w:w="100"/>
              <w:bottom w:type="dxa" w:w="60"/>
              <w:right w:type="dxa" w:w="100"/>
            </w:tcMar>
            <w:vAlign w:val="center"/>
          </w:tcPr>
          <w:p>
            <w:pPr>
              <w:jc w:val="center"/>
            </w:pPr>
            <w:r>
              <w:rPr>
                <w:b w:val="false"/>
                <w:bCs w:val="false"/>
                <w:sz w:val="19"/>
                <w:szCs w:val="19"/>
              </w:rPr>
              <w:t xml:space="preserve">7_Awareness_Programs</w:t>
            </w:r>
          </w:p>
        </w:tc>
      </w:tr>
    </w:tbl>
    <w:p>
      <w:pPr>
        <w:spacing w:after="160"/>
      </w:pPr>
      <w:r>
        <w:rPr>
          <w:i/>
          <w:iCs/>
          <w:color w:val="555555"/>
          <w:sz w:val="19"/>
          <w:szCs w:val="19"/>
        </w:rPr>
        <w:t xml:space="preserve">Weights and category definitions reproduced exactly as entered on the "0_Scorecard" and "Instructions" sheets of the workbook.</w:t>
      </w:r>
    </w:p>
    <w:p>
      <w:pPr>
        <w:pStyle w:val="Heading2"/>
        <w:spacing w:after="120" w:before="240"/>
      </w:pPr>
      <w:r>
        <w:t xml:space="preserve">3.2 Recomputation of Achieved Values</w:t>
      </w:r>
    </w:p>
    <w:p>
      <w:pPr>
        <w:spacing w:after="160"/>
      </w:pPr>
      <w:r>
        <w:t xml:space="preserve">The "0_Scorecard" sheet is designed to auto-populate Achieved Value, Achievement %, and Score Earned via formulas linked to the seven data sheets. In the workbook version supplied for this report, these formula cells contained no cached values. To avoid presenting a blank or invented score, SSPCB has recomputed each category's Achieved Value directly from the underlying data, using the indicator definitions given on the "Instructions" sheet, as follows:</w:t>
      </w:r>
    </w:p>
    <w:p>
      <w:pPr>
        <w:pStyle w:val="ListParagraph"/>
        <w:numPr>
          <w:ilvl w:val="0"/>
          <w:numId w:val="2"/>
        </w:numPr>
        <w:spacing w:after="80"/>
      </w:pPr>
      <w:r>
        <w:rPr>
          <w:b/>
          <w:bCs/>
        </w:rPr>
        <w:t xml:space="preserve">Category 1 (Generation &amp; Inventory): </w:t>
      </w:r>
      <w:r>
        <w:t xml:space="preserve">measured as district reporting completeness – 6 of 6 districts submitted complete category-wise generation data for the period, i.e. 100%. Note: the benchmark value entered in the workbook for this category ("5") does not share a common unit with this percentage-based indicator; SSPCB recommends this benchmark cell be corrected to a percentage or count-based target before the next reporting cycle (see Section 13).</w:t>
      </w:r>
    </w:p>
    <w:p>
      <w:pPr>
        <w:pStyle w:val="ListParagraph"/>
        <w:numPr>
          <w:ilvl w:val="0"/>
          <w:numId w:val="2"/>
        </w:numPr>
        <w:spacing w:after="80"/>
      </w:pPr>
      <w:r>
        <w:rPr>
          <w:b/>
          <w:bCs/>
        </w:rPr>
        <w:t xml:space="preserve">Category 2 (Collection Performance): </w:t>
      </w:r>
      <w:r>
        <w:t xml:space="preserve">measured as the state-level collection rate, i.e. total quantity collected divided by total quantity generated (Section 5).</w:t>
      </w:r>
    </w:p>
    <w:p>
      <w:pPr>
        <w:pStyle w:val="ListParagraph"/>
        <w:numPr>
          <w:ilvl w:val="0"/>
          <w:numId w:val="2"/>
        </w:numPr>
        <w:spacing w:after="80"/>
      </w:pPr>
      <w:r>
        <w:rPr>
          <w:b/>
          <w:bCs/>
        </w:rPr>
        <w:t xml:space="preserve">Category 3 (Formal Recycling &amp; Treatment): </w:t>
      </w:r>
      <w:r>
        <w:t xml:space="preserve">intended to be measured as the quantity-weighted average material recovery rate achieved by authorised recyclers/dismantlers. The sole entry in the "3_Recycling_Infrastructure" sheet records its Material Recovery Rate as "N/A"; no recovery-rate figure is therefore available anywhere in the workbook for this category, and it cannot be recomputed from the data supplied. This indicator has conservatively been scored as 0% pending verified data (Section 6), rather than left blank or estimated.</w:t>
      </w:r>
    </w:p>
    <w:p>
      <w:pPr>
        <w:pStyle w:val="ListParagraph"/>
        <w:numPr>
          <w:ilvl w:val="0"/>
          <w:numId w:val="2"/>
        </w:numPr>
        <w:spacing w:after="80"/>
      </w:pPr>
      <w:r>
        <w:rPr>
          <w:b/>
          <w:bCs/>
        </w:rPr>
        <w:t xml:space="preserve">Category 4 (Regulatory Compliance): </w:t>
      </w:r>
      <w:r>
        <w:t xml:space="preserve">measured as the percentage of registered producers/EPR entities with a "Compliant" status (Section 7).</w:t>
      </w:r>
    </w:p>
    <w:p>
      <w:pPr>
        <w:pStyle w:val="ListParagraph"/>
        <w:numPr>
          <w:ilvl w:val="0"/>
          <w:numId w:val="2"/>
        </w:numPr>
        <w:spacing w:after="80"/>
      </w:pPr>
      <w:r>
        <w:rPr>
          <w:b/>
          <w:bCs/>
        </w:rPr>
        <w:t xml:space="preserve">Category 5 (Informal Sector Integration): </w:t>
      </w:r>
      <w:r>
        <w:t xml:space="preserve">intended to be measured as the simple average of (a) the percentage of identified informal hotspots that are Formalized or Partially Formalized, and (b) the percentage of estimated informal workers who are registered/trained. The "5_Informal_Sector_Hotspots" sheet records a single placeholder row ("None Identified (Sikkim Anomaly)") with an estimated-worker count of zero, i.e. zero identified hotspots and zero estimated workers (Section 8). With no hotspots or workers in the denominator, both underlying percentages are mathematically undefined (0/0) rather than zero. SSPCB has treated this vacuously as 100% achievement (nothing identified requires formalisation), but flags this explicitly as unverified: it reflects the absence of a recorded hotspot in the workbook, not a confirmed statewide field survey ruling out an informal sector (see Section 8.1 and Section 12).</w:t>
      </w:r>
    </w:p>
    <w:p>
      <w:pPr>
        <w:pStyle w:val="ListParagraph"/>
        <w:numPr>
          <w:ilvl w:val="0"/>
          <w:numId w:val="2"/>
        </w:numPr>
        <w:spacing w:after="80"/>
      </w:pPr>
      <w:r>
        <w:rPr>
          <w:b/>
          <w:bCs/>
        </w:rPr>
        <w:t xml:space="preserve">Category 6 (Environmental &amp; Health Safeguards): </w:t>
      </w:r>
      <w:r>
        <w:t xml:space="preserve">intended to be measured as the percentage of identified informal hotspots that received at least one environmental monitoring visit during the period. As Section 8 records zero identified hotspots, this percentage is likewise undefined (0/0) and has been treated vacuously as 100%, flagged as unverified on the same basis (Section 9).</w:t>
      </w:r>
    </w:p>
    <w:p>
      <w:pPr>
        <w:pStyle w:val="ListParagraph"/>
        <w:numPr>
          <w:ilvl w:val="0"/>
          <w:numId w:val="2"/>
        </w:numPr>
        <w:spacing w:after="80"/>
      </w:pPr>
      <w:r>
        <w:rPr>
          <w:b/>
          <w:bCs/>
        </w:rPr>
        <w:t xml:space="preserve">Category 7 (Awareness &amp; Outreach): </w:t>
      </w:r>
      <w:r>
        <w:t xml:space="preserve">measured against the benchmark of 20 programs/year entered on the "0_Scorecard" sheet; 2 programs were recorded in the "7_Awareness_Programs" sheet for the period (Section 10).</w:t>
      </w:r>
    </w:p>
    <w:p>
      <w:pPr>
        <w:spacing w:after="160"/>
      </w:pPr>
      <w:r>
        <w:t xml:space="preserve">Achievement % for each category is capped at 100% and Score Earned = Weight × Achievement %. This methodology, and the resulting figures — including the two vacuous 100% scores and the single 0% data-gap score flagged above — should be verified and formally adopted by SSPCB before the score is treated as an official departmental figure.</w:t>
      </w:r>
    </w:p>
    <w:p>
      <w:pPr>
        <w:pStyle w:val="Heading2"/>
        <w:spacing w:after="120" w:before="240"/>
      </w:pPr>
      <w:r>
        <w:t xml:space="preserve">3.3 Data Verification Status</w:t>
      </w:r>
    </w:p>
    <w:p>
      <w:pPr>
        <w:spacing w:after="160"/>
      </w:pPr>
      <w:r>
        <w:t xml:space="preserve">Producer/EPR entity names in Section 7 (Regulatory Compliance) are recorded in the workbook using generic placeholder labels ("Entity A", "Entity B"). These are retained as-is in this report and are illustrative placeholders pending verified SSPCB/CPCB registration records; they should not be read as actual registered entity names. The recycling arrangement in Section 6 is named descriptively in the workbook ("No Local Facilities – Transported to West Bengal") rather than as a placeholder, and is retained verbatim as it appears to be a substantive statement about Sikkim's recycling infrastructure rather than a data placeholder. All numeric figures are traceable to specific rows/columns of the seven-sheet Sikkim State E-Waste Dashboard workbook, as cited in each section below.</w:t>
      </w:r>
    </w:p>
    <w:p>
      <w:r>
        <w:br w:type="page"/>
      </w:r>
    </w:p>
    <w:p>
      <w:pPr>
        <w:pStyle w:val="Heading1"/>
        <w:spacing w:after="150" w:before="300"/>
      </w:pPr>
      <w:r>
        <w:t xml:space="preserve">4. State E-Waste Generation Profile</w:t>
      </w:r>
    </w:p>
    <w:p>
      <w:pPr>
        <w:spacing w:after="160"/>
      </w:pPr>
      <w:r>
        <w:t xml:space="preserve">Source: 1_Generation_Inventory sheet. All 6 districts of Sikkim reported complete category-wise generation data for the period, updated as of 30-06-2026.</w:t>
      </w:r>
    </w:p>
    <w:p>
      <w:pPr>
        <w:spacing w:after="160"/>
      </w:pPr>
      <w:r>
        <w:t xml:space="preserve">State-level total e-waste generation for the reporting period is </w:t>
      </w:r>
      <w:r>
        <w:rPr>
          <w:b/>
          <w:bCs/>
        </w:rPr>
        <w:t xml:space="preserve">73,000 kg (73.00 metric tonnes)</w:t>
      </w:r>
      <w:r>
        <w:t xml:space="preserve">, across a total reporting population of </w:t>
      </w:r>
      <w:r>
        <w:rPr>
          <w:b/>
          <w:bCs/>
        </w:rPr>
        <w:t xml:space="preserve">7,49,784</w:t>
      </w:r>
      <w:r>
        <w:t xml:space="preserve">.</w:t>
      </w:r>
    </w:p>
    <w:p>
      <w:pPr>
        <w:pStyle w:val="Heading2"/>
        <w:spacing w:after="120" w:before="240"/>
      </w:pPr>
      <w:r>
        <w:t xml:space="preserve">4.1 Category-wise Generation Breakup (State Total)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000"/>
      </w:tblGrid>
      <w:tr>
        <w:trPr>
          <w:tblHeader/>
        </w:trPr>
        <w:tc>
          <w:tcPr>
            <w:tcW w:type="dxa" w:w="4200"/>
            <w:shd w:fill="D9D9D9" w:val="clear"/>
            <w:tcMar>
              <w:top w:type="dxa" w:w="60"/>
              <w:left w:type="dxa" w:w="100"/>
              <w:bottom w:type="dxa" w:w="60"/>
              <w:right w:type="dxa" w:w="100"/>
            </w:tcMar>
            <w:vAlign w:val="center"/>
          </w:tcPr>
          <w:p>
            <w:pPr>
              <w:jc w:val="left"/>
            </w:pPr>
            <w:r>
              <w:rPr>
                <w:b/>
                <w:bCs/>
                <w:sz w:val="19"/>
                <w:szCs w:val="19"/>
              </w:rPr>
              <w:t xml:space="preserve">Equipment Category</w:t>
            </w:r>
          </w:p>
        </w:tc>
        <w:tc>
          <w:tcPr>
            <w:tcW w:type="dxa" w:w="3200"/>
            <w:shd w:fill="D9D9D9" w:val="clear"/>
            <w:tcMar>
              <w:top w:type="dxa" w:w="60"/>
              <w:left w:type="dxa" w:w="100"/>
              <w:bottom w:type="dxa" w:w="60"/>
              <w:right w:type="dxa" w:w="100"/>
            </w:tcMar>
            <w:vAlign w:val="center"/>
          </w:tcPr>
          <w:p>
            <w:pPr>
              <w:jc w:val="left"/>
            </w:pPr>
            <w:r>
              <w:rPr>
                <w:b/>
                <w:bCs/>
                <w:sz w:val="19"/>
                <w:szCs w:val="19"/>
              </w:rPr>
              <w:t xml:space="preserve">Quantity</w:t>
            </w:r>
          </w:p>
        </w:tc>
        <w:tc>
          <w:tcPr>
            <w:tcW w:type="dxa" w:w="2000"/>
            <w:shd w:fill="D9D9D9" w:val="clear"/>
            <w:tcMar>
              <w:top w:type="dxa" w:w="60"/>
              <w:left w:type="dxa" w:w="100"/>
              <w:bottom w:type="dxa" w:w="60"/>
              <w:right w:type="dxa" w:w="100"/>
            </w:tcMar>
            <w:vAlign w:val="center"/>
          </w:tcPr>
          <w:p>
            <w:pPr>
              <w:jc w:val="left"/>
            </w:pPr>
            <w:r>
              <w:rPr>
                <w:b/>
                <w:bCs/>
                <w:sz w:val="19"/>
                <w:szCs w:val="19"/>
              </w:rPr>
              <w:t xml:space="preserve">% of State Total</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IT &amp; Telecom</w:t>
            </w:r>
          </w:p>
        </w:tc>
        <w:tc>
          <w:tcPr>
            <w:tcW w:type="dxa" w:w="3200"/>
            <w:tcMar>
              <w:top w:type="dxa" w:w="60"/>
              <w:left w:type="dxa" w:w="100"/>
              <w:bottom w:type="dxa" w:w="60"/>
              <w:right w:type="dxa" w:w="100"/>
            </w:tcMar>
            <w:vAlign w:val="center"/>
          </w:tcPr>
          <w:p>
            <w:pPr>
              <w:jc w:val="center"/>
            </w:pPr>
            <w:r>
              <w:rPr>
                <w:b w:val="false"/>
                <w:bCs w:val="false"/>
                <w:sz w:val="19"/>
                <w:szCs w:val="19"/>
              </w:rPr>
              <w:t xml:space="preserve">34,500 kg (34.50 t)</w:t>
            </w:r>
          </w:p>
        </w:tc>
        <w:tc>
          <w:tcPr>
            <w:tcW w:type="dxa" w:w="2000"/>
            <w:tcMar>
              <w:top w:type="dxa" w:w="60"/>
              <w:left w:type="dxa" w:w="100"/>
              <w:bottom w:type="dxa" w:w="60"/>
              <w:right w:type="dxa" w:w="100"/>
            </w:tcMar>
            <w:vAlign w:val="center"/>
          </w:tcPr>
          <w:p>
            <w:pPr>
              <w:jc w:val="center"/>
            </w:pPr>
            <w:r>
              <w:rPr>
                <w:b w:val="false"/>
                <w:bCs w:val="false"/>
                <w:sz w:val="19"/>
                <w:szCs w:val="19"/>
              </w:rPr>
              <w:t xml:space="preserve">47.26%</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Consumer Electrical &amp; Electronics</w:t>
            </w:r>
          </w:p>
        </w:tc>
        <w:tc>
          <w:tcPr>
            <w:tcW w:type="dxa" w:w="3200"/>
            <w:tcMar>
              <w:top w:type="dxa" w:w="60"/>
              <w:left w:type="dxa" w:w="100"/>
              <w:bottom w:type="dxa" w:w="60"/>
              <w:right w:type="dxa" w:w="100"/>
            </w:tcMar>
            <w:vAlign w:val="center"/>
          </w:tcPr>
          <w:p>
            <w:pPr>
              <w:jc w:val="center"/>
            </w:pPr>
            <w:r>
              <w:rPr>
                <w:b w:val="false"/>
                <w:bCs w:val="false"/>
                <w:sz w:val="19"/>
                <w:szCs w:val="19"/>
              </w:rPr>
              <w:t xml:space="preserve">17,300 kg (17.30 t)</w:t>
            </w:r>
          </w:p>
        </w:tc>
        <w:tc>
          <w:tcPr>
            <w:tcW w:type="dxa" w:w="2000"/>
            <w:tcMar>
              <w:top w:type="dxa" w:w="60"/>
              <w:left w:type="dxa" w:w="100"/>
              <w:bottom w:type="dxa" w:w="60"/>
              <w:right w:type="dxa" w:w="100"/>
            </w:tcMar>
            <w:vAlign w:val="center"/>
          </w:tcPr>
          <w:p>
            <w:pPr>
              <w:jc w:val="center"/>
            </w:pPr>
            <w:r>
              <w:rPr>
                <w:b w:val="false"/>
                <w:bCs w:val="false"/>
                <w:sz w:val="19"/>
                <w:szCs w:val="19"/>
              </w:rPr>
              <w:t xml:space="preserve">23.70%</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Large &amp; Small Equipment</w:t>
            </w:r>
          </w:p>
        </w:tc>
        <w:tc>
          <w:tcPr>
            <w:tcW w:type="dxa" w:w="3200"/>
            <w:tcMar>
              <w:top w:type="dxa" w:w="60"/>
              <w:left w:type="dxa" w:w="100"/>
              <w:bottom w:type="dxa" w:w="60"/>
              <w:right w:type="dxa" w:w="100"/>
            </w:tcMar>
            <w:vAlign w:val="center"/>
          </w:tcPr>
          <w:p>
            <w:pPr>
              <w:jc w:val="center"/>
            </w:pPr>
            <w:r>
              <w:rPr>
                <w:b w:val="false"/>
                <w:bCs w:val="false"/>
                <w:sz w:val="19"/>
                <w:szCs w:val="19"/>
              </w:rPr>
              <w:t xml:space="preserve">8,100 kg (8.10 t)</w:t>
            </w:r>
          </w:p>
        </w:tc>
        <w:tc>
          <w:tcPr>
            <w:tcW w:type="dxa" w:w="2000"/>
            <w:tcMar>
              <w:top w:type="dxa" w:w="60"/>
              <w:left w:type="dxa" w:w="100"/>
              <w:bottom w:type="dxa" w:w="60"/>
              <w:right w:type="dxa" w:w="100"/>
            </w:tcMar>
            <w:vAlign w:val="center"/>
          </w:tcPr>
          <w:p>
            <w:pPr>
              <w:jc w:val="center"/>
            </w:pPr>
            <w:r>
              <w:rPr>
                <w:b w:val="false"/>
                <w:bCs w:val="false"/>
                <w:sz w:val="19"/>
                <w:szCs w:val="19"/>
              </w:rPr>
              <w:t xml:space="preserve">11.10%</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Batteries</w:t>
            </w:r>
          </w:p>
        </w:tc>
        <w:tc>
          <w:tcPr>
            <w:tcW w:type="dxa" w:w="3200"/>
            <w:tcMar>
              <w:top w:type="dxa" w:w="60"/>
              <w:left w:type="dxa" w:w="100"/>
              <w:bottom w:type="dxa" w:w="60"/>
              <w:right w:type="dxa" w:w="100"/>
            </w:tcMar>
            <w:vAlign w:val="center"/>
          </w:tcPr>
          <w:p>
            <w:pPr>
              <w:jc w:val="center"/>
            </w:pPr>
            <w:r>
              <w:rPr>
                <w:b w:val="false"/>
                <w:bCs w:val="false"/>
                <w:sz w:val="19"/>
                <w:szCs w:val="19"/>
              </w:rPr>
              <w:t xml:space="preserve">6,500 kg (6.50 t)</w:t>
            </w:r>
          </w:p>
        </w:tc>
        <w:tc>
          <w:tcPr>
            <w:tcW w:type="dxa" w:w="2000"/>
            <w:tcMar>
              <w:top w:type="dxa" w:w="60"/>
              <w:left w:type="dxa" w:w="100"/>
              <w:bottom w:type="dxa" w:w="60"/>
              <w:right w:type="dxa" w:w="100"/>
            </w:tcMar>
            <w:vAlign w:val="center"/>
          </w:tcPr>
          <w:p>
            <w:pPr>
              <w:jc w:val="center"/>
            </w:pPr>
            <w:r>
              <w:rPr>
                <w:b w:val="false"/>
                <w:bCs w:val="false"/>
                <w:sz w:val="19"/>
                <w:szCs w:val="19"/>
              </w:rPr>
              <w:t xml:space="preserve">8.90%</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Lighting Equipment</w:t>
            </w:r>
          </w:p>
        </w:tc>
        <w:tc>
          <w:tcPr>
            <w:tcW w:type="dxa" w:w="3200"/>
            <w:tcMar>
              <w:top w:type="dxa" w:w="60"/>
              <w:left w:type="dxa" w:w="100"/>
              <w:bottom w:type="dxa" w:w="60"/>
              <w:right w:type="dxa" w:w="100"/>
            </w:tcMar>
            <w:vAlign w:val="center"/>
          </w:tcPr>
          <w:p>
            <w:pPr>
              <w:jc w:val="center"/>
            </w:pPr>
            <w:r>
              <w:rPr>
                <w:b w:val="false"/>
                <w:bCs w:val="false"/>
                <w:sz w:val="19"/>
                <w:szCs w:val="19"/>
              </w:rPr>
              <w:t xml:space="preserve">3,500 kg (3.50 t)</w:t>
            </w:r>
          </w:p>
        </w:tc>
        <w:tc>
          <w:tcPr>
            <w:tcW w:type="dxa" w:w="2000"/>
            <w:tcMar>
              <w:top w:type="dxa" w:w="60"/>
              <w:left w:type="dxa" w:w="100"/>
              <w:bottom w:type="dxa" w:w="60"/>
              <w:right w:type="dxa" w:w="100"/>
            </w:tcMar>
            <w:vAlign w:val="center"/>
          </w:tcPr>
          <w:p>
            <w:pPr>
              <w:jc w:val="center"/>
            </w:pPr>
            <w:r>
              <w:rPr>
                <w:b w:val="false"/>
                <w:bCs w:val="false"/>
                <w:sz w:val="19"/>
                <w:szCs w:val="19"/>
              </w:rPr>
              <w:t xml:space="preserve">4.79%</w:t>
            </w:r>
          </w:p>
        </w:tc>
      </w:tr>
      <w:tr>
        <w:tc>
          <w:tcPr>
            <w:tcW w:type="dxa" w:w="4200"/>
            <w:tcMar>
              <w:top w:type="dxa" w:w="60"/>
              <w:left w:type="dxa" w:w="100"/>
              <w:bottom w:type="dxa" w:w="60"/>
              <w:right w:type="dxa" w:w="100"/>
            </w:tcMar>
            <w:vAlign w:val="center"/>
          </w:tcPr>
          <w:p>
            <w:pPr>
              <w:jc w:val="left"/>
            </w:pPr>
            <w:r>
              <w:rPr>
                <w:b w:val="false"/>
                <w:bCs w:val="false"/>
                <w:sz w:val="19"/>
                <w:szCs w:val="19"/>
              </w:rPr>
              <w:t xml:space="preserve">Other</w:t>
            </w:r>
          </w:p>
        </w:tc>
        <w:tc>
          <w:tcPr>
            <w:tcW w:type="dxa" w:w="3200"/>
            <w:tcMar>
              <w:top w:type="dxa" w:w="60"/>
              <w:left w:type="dxa" w:w="100"/>
              <w:bottom w:type="dxa" w:w="60"/>
              <w:right w:type="dxa" w:w="100"/>
            </w:tcMar>
            <w:vAlign w:val="center"/>
          </w:tcPr>
          <w:p>
            <w:pPr>
              <w:jc w:val="center"/>
            </w:pPr>
            <w:r>
              <w:rPr>
                <w:b w:val="false"/>
                <w:bCs w:val="false"/>
                <w:sz w:val="19"/>
                <w:szCs w:val="19"/>
              </w:rPr>
              <w:t xml:space="preserve">3,100 kg (3.10 t)</w:t>
            </w:r>
          </w:p>
        </w:tc>
        <w:tc>
          <w:tcPr>
            <w:tcW w:type="dxa" w:w="2000"/>
            <w:tcMar>
              <w:top w:type="dxa" w:w="60"/>
              <w:left w:type="dxa" w:w="100"/>
              <w:bottom w:type="dxa" w:w="60"/>
              <w:right w:type="dxa" w:w="100"/>
            </w:tcMar>
            <w:vAlign w:val="center"/>
          </w:tcPr>
          <w:p>
            <w:pPr>
              <w:jc w:val="center"/>
            </w:pPr>
            <w:r>
              <w:rPr>
                <w:b w:val="false"/>
                <w:bCs w:val="false"/>
                <w:sz w:val="19"/>
                <w:szCs w:val="19"/>
              </w:rPr>
              <w:t xml:space="preserve">4.25%</w:t>
            </w:r>
          </w:p>
        </w:tc>
      </w:tr>
    </w:tbl>
    <w:p>
      <w:pPr>
        <w:spacing w:after="160"/>
      </w:pPr>
      <w:r>
        <w:t xml:space="preserve">IT &amp; Telecom equipment is the single largest contributing category statewide at nearly half of all generation, followed by Consumer Electrical &amp; Electronics. Together these two categories account for 70.96% of state generation, a slightly higher concentration than seen in larger states, consistent with a small, low-industrial-base state where household IT/telecom devices and consumer electronics dominate the waste stream rather than large industrial or lighting equipment. (Described chart: a stacked/clustered bar chart of the above six categories would visually show IT &amp; Telecom as the single dominant bar at nearly half the total, with Lighting Equipment and Other forming the smallest segments.)</w:t>
      </w:r>
    </w:p>
    <w:p>
      <w:pPr>
        <w:pStyle w:val="Heading2"/>
        <w:spacing w:after="120" w:before="240"/>
      </w:pPr>
      <w:r>
        <w:t xml:space="preserve">4.2 District-wise Ranking (Highest to Lowest Generator)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700"/>
        <w:gridCol w:w="2600"/>
        <w:gridCol w:w="1800"/>
      </w:tblGrid>
      <w:tr>
        <w:trPr>
          <w:tblHeader/>
        </w:trPr>
        <w:tc>
          <w:tcPr>
            <w:tcW w:type="dxa" w:w="700"/>
            <w:shd w:fill="D9D9D9" w:val="clear"/>
            <w:tcMar>
              <w:top w:type="dxa" w:w="60"/>
              <w:left w:type="dxa" w:w="100"/>
              <w:bottom w:type="dxa" w:w="60"/>
              <w:right w:type="dxa" w:w="100"/>
            </w:tcMar>
            <w:vAlign w:val="center"/>
          </w:tcPr>
          <w:p>
            <w:pPr>
              <w:jc w:val="left"/>
            </w:pPr>
            <w:r>
              <w:rPr>
                <w:b/>
                <w:bCs/>
                <w:sz w:val="19"/>
                <w:szCs w:val="19"/>
              </w:rPr>
              <w:t xml:space="preserve">Rank</w:t>
            </w:r>
          </w:p>
        </w:tc>
        <w:tc>
          <w:tcPr>
            <w:tcW w:type="dxa" w:w="26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700"/>
            <w:shd w:fill="D9D9D9" w:val="clear"/>
            <w:tcMar>
              <w:top w:type="dxa" w:w="60"/>
              <w:left w:type="dxa" w:w="100"/>
              <w:bottom w:type="dxa" w:w="60"/>
              <w:right w:type="dxa" w:w="100"/>
            </w:tcMar>
            <w:vAlign w:val="center"/>
          </w:tcPr>
          <w:p>
            <w:pPr>
              <w:jc w:val="left"/>
            </w:pPr>
            <w:r>
              <w:rPr>
                <w:b/>
                <w:bCs/>
                <w:sz w:val="19"/>
                <w:szCs w:val="19"/>
              </w:rPr>
              <w:t xml:space="preserve">Population</w:t>
            </w:r>
          </w:p>
        </w:tc>
        <w:tc>
          <w:tcPr>
            <w:tcW w:type="dxa" w:w="2600"/>
            <w:shd w:fill="D9D9D9" w:val="clear"/>
            <w:tcMar>
              <w:top w:type="dxa" w:w="60"/>
              <w:left w:type="dxa" w:w="100"/>
              <w:bottom w:type="dxa" w:w="60"/>
              <w:right w:type="dxa" w:w="100"/>
            </w:tcMar>
            <w:vAlign w:val="center"/>
          </w:tcPr>
          <w:p>
            <w:pPr>
              <w:jc w:val="left"/>
            </w:pPr>
            <w:r>
              <w:rPr>
                <w:b/>
                <w:bCs/>
                <w:sz w:val="19"/>
                <w:szCs w:val="19"/>
              </w:rPr>
              <w:t xml:space="preserve">Total Generated</w:t>
            </w:r>
          </w:p>
        </w:tc>
        <w:tc>
          <w:tcPr>
            <w:tcW w:type="dxa" w:w="1800"/>
            <w:shd w:fill="D9D9D9" w:val="clear"/>
            <w:tcMar>
              <w:top w:type="dxa" w:w="60"/>
              <w:left w:type="dxa" w:w="100"/>
              <w:bottom w:type="dxa" w:w="60"/>
              <w:right w:type="dxa" w:w="100"/>
            </w:tcMar>
            <w:vAlign w:val="center"/>
          </w:tcPr>
          <w:p>
            <w:pPr>
              <w:jc w:val="left"/>
            </w:pPr>
            <w:r>
              <w:rPr>
                <w:b/>
                <w:bCs/>
                <w:sz w:val="19"/>
                <w:szCs w:val="19"/>
              </w:rPr>
              <w:t xml:space="preserve">Per-Capita Generation</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1</w:t>
            </w:r>
          </w:p>
        </w:tc>
        <w:tc>
          <w:tcPr>
            <w:tcW w:type="dxa" w:w="2600"/>
            <w:tcMar>
              <w:top w:type="dxa" w:w="60"/>
              <w:left w:type="dxa" w:w="100"/>
              <w:bottom w:type="dxa" w:w="60"/>
              <w:right w:type="dxa" w:w="100"/>
            </w:tcMar>
            <w:vAlign w:val="center"/>
          </w:tcPr>
          <w:p>
            <w:pPr>
              <w:jc w:val="center"/>
            </w:pPr>
            <w:r>
              <w:rPr>
                <w:b w:val="false"/>
                <w:bCs w:val="false"/>
                <w:sz w:val="19"/>
                <w:szCs w:val="19"/>
              </w:rPr>
              <w:t xml:space="preserve">Gangtok (East Sikkim)</w:t>
            </w:r>
          </w:p>
        </w:tc>
        <w:tc>
          <w:tcPr>
            <w:tcW w:type="dxa" w:w="1700"/>
            <w:tcMar>
              <w:top w:type="dxa" w:w="60"/>
              <w:left w:type="dxa" w:w="100"/>
              <w:bottom w:type="dxa" w:w="60"/>
              <w:right w:type="dxa" w:w="100"/>
            </w:tcMar>
            <w:vAlign w:val="center"/>
          </w:tcPr>
          <w:p>
            <w:pPr>
              <w:jc w:val="center"/>
            </w:pPr>
            <w:r>
              <w:rPr>
                <w:b w:val="false"/>
                <w:bCs w:val="false"/>
                <w:sz w:val="19"/>
                <w:szCs w:val="19"/>
              </w:rPr>
              <w:t xml:space="preserve">2,83,583</w:t>
            </w:r>
          </w:p>
        </w:tc>
        <w:tc>
          <w:tcPr>
            <w:tcW w:type="dxa" w:w="2600"/>
            <w:tcMar>
              <w:top w:type="dxa" w:w="60"/>
              <w:left w:type="dxa" w:w="100"/>
              <w:bottom w:type="dxa" w:w="60"/>
              <w:right w:type="dxa" w:w="100"/>
            </w:tcMar>
            <w:vAlign w:val="center"/>
          </w:tcPr>
          <w:p>
            <w:pPr>
              <w:jc w:val="center"/>
            </w:pPr>
            <w:r>
              <w:rPr>
                <w:b w:val="false"/>
                <w:bCs w:val="false"/>
                <w:sz w:val="19"/>
                <w:szCs w:val="19"/>
              </w:rPr>
              <w:t xml:space="preserve">42,500 kg (42.50 t)</w:t>
            </w:r>
          </w:p>
        </w:tc>
        <w:tc>
          <w:tcPr>
            <w:tcW w:type="dxa" w:w="1800"/>
            <w:tcMar>
              <w:top w:type="dxa" w:w="60"/>
              <w:left w:type="dxa" w:w="100"/>
              <w:bottom w:type="dxa" w:w="60"/>
              <w:right w:type="dxa" w:w="100"/>
            </w:tcMar>
            <w:vAlign w:val="center"/>
          </w:tcPr>
          <w:p>
            <w:pPr>
              <w:jc w:val="center"/>
            </w:pPr>
            <w:r>
              <w:rPr>
                <w:b w:val="false"/>
                <w:bCs w:val="false"/>
                <w:sz w:val="19"/>
                <w:szCs w:val="19"/>
              </w:rPr>
              <w:t xml:space="preserve">0.150 kg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2</w:t>
            </w:r>
          </w:p>
        </w:tc>
        <w:tc>
          <w:tcPr>
            <w:tcW w:type="dxa" w:w="2600"/>
            <w:tcMar>
              <w:top w:type="dxa" w:w="60"/>
              <w:left w:type="dxa" w:w="100"/>
              <w:bottom w:type="dxa" w:w="60"/>
              <w:right w:type="dxa" w:w="100"/>
            </w:tcMar>
            <w:vAlign w:val="center"/>
          </w:tcPr>
          <w:p>
            <w:pPr>
              <w:jc w:val="center"/>
            </w:pPr>
            <w:r>
              <w:rPr>
                <w:b w:val="false"/>
                <w:bCs w:val="false"/>
                <w:sz w:val="19"/>
                <w:szCs w:val="19"/>
              </w:rPr>
              <w:t xml:space="preserve">Namchi (South Sikkim)</w:t>
            </w:r>
          </w:p>
        </w:tc>
        <w:tc>
          <w:tcPr>
            <w:tcW w:type="dxa" w:w="1700"/>
            <w:tcMar>
              <w:top w:type="dxa" w:w="60"/>
              <w:left w:type="dxa" w:w="100"/>
              <w:bottom w:type="dxa" w:w="60"/>
              <w:right w:type="dxa" w:w="100"/>
            </w:tcMar>
            <w:vAlign w:val="center"/>
          </w:tcPr>
          <w:p>
            <w:pPr>
              <w:jc w:val="center"/>
            </w:pPr>
            <w:r>
              <w:rPr>
                <w:b w:val="false"/>
                <w:bCs w:val="false"/>
                <w:sz w:val="19"/>
                <w:szCs w:val="19"/>
              </w:rPr>
              <w:t xml:space="preserve">1,46,850</w:t>
            </w:r>
          </w:p>
        </w:tc>
        <w:tc>
          <w:tcPr>
            <w:tcW w:type="dxa" w:w="2600"/>
            <w:tcMar>
              <w:top w:type="dxa" w:w="60"/>
              <w:left w:type="dxa" w:w="100"/>
              <w:bottom w:type="dxa" w:w="60"/>
              <w:right w:type="dxa" w:w="100"/>
            </w:tcMar>
            <w:vAlign w:val="center"/>
          </w:tcPr>
          <w:p>
            <w:pPr>
              <w:jc w:val="center"/>
            </w:pPr>
            <w:r>
              <w:rPr>
                <w:b w:val="false"/>
                <w:bCs w:val="false"/>
                <w:sz w:val="19"/>
                <w:szCs w:val="19"/>
              </w:rPr>
              <w:t xml:space="preserve">12,100 kg (12.10 t)</w:t>
            </w:r>
          </w:p>
        </w:tc>
        <w:tc>
          <w:tcPr>
            <w:tcW w:type="dxa" w:w="1800"/>
            <w:tcMar>
              <w:top w:type="dxa" w:w="60"/>
              <w:left w:type="dxa" w:w="100"/>
              <w:bottom w:type="dxa" w:w="60"/>
              <w:right w:type="dxa" w:w="100"/>
            </w:tcMar>
            <w:vAlign w:val="center"/>
          </w:tcPr>
          <w:p>
            <w:pPr>
              <w:jc w:val="center"/>
            </w:pPr>
            <w:r>
              <w:rPr>
                <w:b w:val="false"/>
                <w:bCs w:val="false"/>
                <w:sz w:val="19"/>
                <w:szCs w:val="19"/>
              </w:rPr>
              <w:t xml:space="preserve">0.082 kg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3</w:t>
            </w:r>
          </w:p>
        </w:tc>
        <w:tc>
          <w:tcPr>
            <w:tcW w:type="dxa" w:w="2600"/>
            <w:tcMar>
              <w:top w:type="dxa" w:w="60"/>
              <w:left w:type="dxa" w:w="100"/>
              <w:bottom w:type="dxa" w:w="60"/>
              <w:right w:type="dxa" w:w="100"/>
            </w:tcMar>
            <w:vAlign w:val="center"/>
          </w:tcPr>
          <w:p>
            <w:pPr>
              <w:jc w:val="center"/>
            </w:pPr>
            <w:r>
              <w:rPr>
                <w:b w:val="false"/>
                <w:bCs w:val="false"/>
                <w:sz w:val="19"/>
                <w:szCs w:val="19"/>
              </w:rPr>
              <w:t xml:space="preserve">Gyalshing (West Sikkim)</w:t>
            </w:r>
          </w:p>
        </w:tc>
        <w:tc>
          <w:tcPr>
            <w:tcW w:type="dxa" w:w="1700"/>
            <w:tcMar>
              <w:top w:type="dxa" w:w="60"/>
              <w:left w:type="dxa" w:w="100"/>
              <w:bottom w:type="dxa" w:w="60"/>
              <w:right w:type="dxa" w:w="100"/>
            </w:tcMar>
            <w:vAlign w:val="center"/>
          </w:tcPr>
          <w:p>
            <w:pPr>
              <w:jc w:val="center"/>
            </w:pPr>
            <w:r>
              <w:rPr>
                <w:b w:val="false"/>
                <w:bCs w:val="false"/>
                <w:sz w:val="19"/>
                <w:szCs w:val="19"/>
              </w:rPr>
              <w:t xml:space="preserve">1,36,299</w:t>
            </w:r>
          </w:p>
        </w:tc>
        <w:tc>
          <w:tcPr>
            <w:tcW w:type="dxa" w:w="2600"/>
            <w:tcMar>
              <w:top w:type="dxa" w:w="60"/>
              <w:left w:type="dxa" w:w="100"/>
              <w:bottom w:type="dxa" w:w="60"/>
              <w:right w:type="dxa" w:w="100"/>
            </w:tcMar>
            <w:vAlign w:val="center"/>
          </w:tcPr>
          <w:p>
            <w:pPr>
              <w:jc w:val="center"/>
            </w:pPr>
            <w:r>
              <w:rPr>
                <w:b w:val="false"/>
                <w:bCs w:val="false"/>
                <w:sz w:val="19"/>
                <w:szCs w:val="19"/>
              </w:rPr>
              <w:t xml:space="preserve">8,500 kg (8.50 t)</w:t>
            </w:r>
          </w:p>
        </w:tc>
        <w:tc>
          <w:tcPr>
            <w:tcW w:type="dxa" w:w="1800"/>
            <w:tcMar>
              <w:top w:type="dxa" w:w="60"/>
              <w:left w:type="dxa" w:w="100"/>
              <w:bottom w:type="dxa" w:w="60"/>
              <w:right w:type="dxa" w:w="100"/>
            </w:tcMar>
            <w:vAlign w:val="center"/>
          </w:tcPr>
          <w:p>
            <w:pPr>
              <w:jc w:val="center"/>
            </w:pPr>
            <w:r>
              <w:rPr>
                <w:b w:val="false"/>
                <w:bCs w:val="false"/>
                <w:sz w:val="19"/>
                <w:szCs w:val="19"/>
              </w:rPr>
              <w:t xml:space="preserve">0.062 kg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4</w:t>
            </w:r>
          </w:p>
        </w:tc>
        <w:tc>
          <w:tcPr>
            <w:tcW w:type="dxa" w:w="2600"/>
            <w:tcMar>
              <w:top w:type="dxa" w:w="60"/>
              <w:left w:type="dxa" w:w="100"/>
              <w:bottom w:type="dxa" w:w="60"/>
              <w:right w:type="dxa" w:w="100"/>
            </w:tcMar>
            <w:vAlign w:val="center"/>
          </w:tcPr>
          <w:p>
            <w:pPr>
              <w:jc w:val="center"/>
            </w:pPr>
            <w:r>
              <w:rPr>
                <w:b w:val="false"/>
                <w:bCs w:val="false"/>
                <w:sz w:val="19"/>
                <w:szCs w:val="19"/>
              </w:rPr>
              <w:t xml:space="preserve">Pakyong</w:t>
            </w:r>
          </w:p>
        </w:tc>
        <w:tc>
          <w:tcPr>
            <w:tcW w:type="dxa" w:w="1700"/>
            <w:tcMar>
              <w:top w:type="dxa" w:w="60"/>
              <w:left w:type="dxa" w:w="100"/>
              <w:bottom w:type="dxa" w:w="60"/>
              <w:right w:type="dxa" w:w="100"/>
            </w:tcMar>
            <w:vAlign w:val="center"/>
          </w:tcPr>
          <w:p>
            <w:pPr>
              <w:jc w:val="center"/>
            </w:pPr>
            <w:r>
              <w:rPr>
                <w:b w:val="false"/>
                <w:bCs w:val="false"/>
                <w:sz w:val="19"/>
                <w:szCs w:val="19"/>
              </w:rPr>
              <w:t xml:space="preserve">74,583</w:t>
            </w:r>
          </w:p>
        </w:tc>
        <w:tc>
          <w:tcPr>
            <w:tcW w:type="dxa" w:w="2600"/>
            <w:tcMar>
              <w:top w:type="dxa" w:w="60"/>
              <w:left w:type="dxa" w:w="100"/>
              <w:bottom w:type="dxa" w:w="60"/>
              <w:right w:type="dxa" w:w="100"/>
            </w:tcMar>
            <w:vAlign w:val="center"/>
          </w:tcPr>
          <w:p>
            <w:pPr>
              <w:jc w:val="center"/>
            </w:pPr>
            <w:r>
              <w:rPr>
                <w:b w:val="false"/>
                <w:bCs w:val="false"/>
                <w:sz w:val="19"/>
                <w:szCs w:val="19"/>
              </w:rPr>
              <w:t xml:space="preserve">4,200 kg (4.20 t)</w:t>
            </w:r>
          </w:p>
        </w:tc>
        <w:tc>
          <w:tcPr>
            <w:tcW w:type="dxa" w:w="1800"/>
            <w:tcMar>
              <w:top w:type="dxa" w:w="60"/>
              <w:left w:type="dxa" w:w="100"/>
              <w:bottom w:type="dxa" w:w="60"/>
              <w:right w:type="dxa" w:w="100"/>
            </w:tcMar>
            <w:vAlign w:val="center"/>
          </w:tcPr>
          <w:p>
            <w:pPr>
              <w:jc w:val="center"/>
            </w:pPr>
            <w:r>
              <w:rPr>
                <w:b w:val="false"/>
                <w:bCs w:val="false"/>
                <w:sz w:val="19"/>
                <w:szCs w:val="19"/>
              </w:rPr>
              <w:t xml:space="preserve">0.056 kg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5</w:t>
            </w:r>
          </w:p>
        </w:tc>
        <w:tc>
          <w:tcPr>
            <w:tcW w:type="dxa" w:w="2600"/>
            <w:tcMar>
              <w:top w:type="dxa" w:w="60"/>
              <w:left w:type="dxa" w:w="100"/>
              <w:bottom w:type="dxa" w:w="60"/>
              <w:right w:type="dxa" w:w="100"/>
            </w:tcMar>
            <w:vAlign w:val="center"/>
          </w:tcPr>
          <w:p>
            <w:pPr>
              <w:jc w:val="center"/>
            </w:pPr>
            <w:r>
              <w:rPr>
                <w:b w:val="false"/>
                <w:bCs w:val="false"/>
                <w:sz w:val="19"/>
                <w:szCs w:val="19"/>
              </w:rPr>
              <w:t xml:space="preserve">Soreng</w:t>
            </w:r>
          </w:p>
        </w:tc>
        <w:tc>
          <w:tcPr>
            <w:tcW w:type="dxa" w:w="1700"/>
            <w:tcMar>
              <w:top w:type="dxa" w:w="60"/>
              <w:left w:type="dxa" w:w="100"/>
              <w:bottom w:type="dxa" w:w="60"/>
              <w:right w:type="dxa" w:w="100"/>
            </w:tcMar>
            <w:vAlign w:val="center"/>
          </w:tcPr>
          <w:p>
            <w:pPr>
              <w:jc w:val="center"/>
            </w:pPr>
            <w:r>
              <w:rPr>
                <w:b w:val="false"/>
                <w:bCs w:val="false"/>
                <w:sz w:val="19"/>
                <w:szCs w:val="19"/>
              </w:rPr>
              <w:t xml:space="preserve">64,760</w:t>
            </w:r>
          </w:p>
        </w:tc>
        <w:tc>
          <w:tcPr>
            <w:tcW w:type="dxa" w:w="2600"/>
            <w:tcMar>
              <w:top w:type="dxa" w:w="60"/>
              <w:left w:type="dxa" w:w="100"/>
              <w:bottom w:type="dxa" w:w="60"/>
              <w:right w:type="dxa" w:w="100"/>
            </w:tcMar>
            <w:vAlign w:val="center"/>
          </w:tcPr>
          <w:p>
            <w:pPr>
              <w:jc w:val="center"/>
            </w:pPr>
            <w:r>
              <w:rPr>
                <w:b w:val="false"/>
                <w:bCs w:val="false"/>
                <w:sz w:val="19"/>
                <w:szCs w:val="19"/>
              </w:rPr>
              <w:t xml:space="preserve">3,300 kg (3.30 t)</w:t>
            </w:r>
          </w:p>
        </w:tc>
        <w:tc>
          <w:tcPr>
            <w:tcW w:type="dxa" w:w="1800"/>
            <w:tcMar>
              <w:top w:type="dxa" w:w="60"/>
              <w:left w:type="dxa" w:w="100"/>
              <w:bottom w:type="dxa" w:w="60"/>
              <w:right w:type="dxa" w:w="100"/>
            </w:tcMar>
            <w:vAlign w:val="center"/>
          </w:tcPr>
          <w:p>
            <w:pPr>
              <w:jc w:val="center"/>
            </w:pPr>
            <w:r>
              <w:rPr>
                <w:b w:val="false"/>
                <w:bCs w:val="false"/>
                <w:sz w:val="19"/>
                <w:szCs w:val="19"/>
              </w:rPr>
              <w:t xml:space="preserve">0.051 kg</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6</w:t>
            </w:r>
          </w:p>
        </w:tc>
        <w:tc>
          <w:tcPr>
            <w:tcW w:type="dxa" w:w="2600"/>
            <w:tcMar>
              <w:top w:type="dxa" w:w="60"/>
              <w:left w:type="dxa" w:w="100"/>
              <w:bottom w:type="dxa" w:w="60"/>
              <w:right w:type="dxa" w:w="100"/>
            </w:tcMar>
            <w:vAlign w:val="center"/>
          </w:tcPr>
          <w:p>
            <w:pPr>
              <w:jc w:val="center"/>
            </w:pPr>
            <w:r>
              <w:rPr>
                <w:b w:val="false"/>
                <w:bCs w:val="false"/>
                <w:sz w:val="19"/>
                <w:szCs w:val="19"/>
              </w:rPr>
              <w:t xml:space="preserve">Mangan (North Sikkim)</w:t>
            </w:r>
          </w:p>
        </w:tc>
        <w:tc>
          <w:tcPr>
            <w:tcW w:type="dxa" w:w="1700"/>
            <w:tcMar>
              <w:top w:type="dxa" w:w="60"/>
              <w:left w:type="dxa" w:w="100"/>
              <w:bottom w:type="dxa" w:w="60"/>
              <w:right w:type="dxa" w:w="100"/>
            </w:tcMar>
            <w:vAlign w:val="center"/>
          </w:tcPr>
          <w:p>
            <w:pPr>
              <w:jc w:val="center"/>
            </w:pPr>
            <w:r>
              <w:rPr>
                <w:b w:val="false"/>
                <w:bCs w:val="false"/>
                <w:sz w:val="19"/>
                <w:szCs w:val="19"/>
              </w:rPr>
              <w:t xml:space="preserve">43,709</w:t>
            </w:r>
          </w:p>
        </w:tc>
        <w:tc>
          <w:tcPr>
            <w:tcW w:type="dxa" w:w="2600"/>
            <w:tcMar>
              <w:top w:type="dxa" w:w="60"/>
              <w:left w:type="dxa" w:w="100"/>
              <w:bottom w:type="dxa" w:w="60"/>
              <w:right w:type="dxa" w:w="100"/>
            </w:tcMar>
            <w:vAlign w:val="center"/>
          </w:tcPr>
          <w:p>
            <w:pPr>
              <w:jc w:val="center"/>
            </w:pPr>
            <w:r>
              <w:rPr>
                <w:b w:val="false"/>
                <w:bCs w:val="false"/>
                <w:sz w:val="19"/>
                <w:szCs w:val="19"/>
              </w:rPr>
              <w:t xml:space="preserve">2,400 kg (2.40 t)</w:t>
            </w:r>
          </w:p>
        </w:tc>
        <w:tc>
          <w:tcPr>
            <w:tcW w:type="dxa" w:w="1800"/>
            <w:tcMar>
              <w:top w:type="dxa" w:w="60"/>
              <w:left w:type="dxa" w:w="100"/>
              <w:bottom w:type="dxa" w:w="60"/>
              <w:right w:type="dxa" w:w="100"/>
            </w:tcMar>
            <w:vAlign w:val="center"/>
          </w:tcPr>
          <w:p>
            <w:pPr>
              <w:jc w:val="center"/>
            </w:pPr>
            <w:r>
              <w:rPr>
                <w:b w:val="false"/>
                <w:bCs w:val="false"/>
                <w:sz w:val="19"/>
                <w:szCs w:val="19"/>
              </w:rPr>
              <w:t xml:space="preserve">0.055 kg</w:t>
            </w:r>
          </w:p>
        </w:tc>
      </w:tr>
    </w:tbl>
    <w:p>
      <w:pPr>
        <w:pStyle w:val="Heading2"/>
        <w:spacing w:after="120" w:before="240"/>
      </w:pPr>
      <w:r>
        <w:t xml:space="preserve">4.3 Narrative Analysis</w:t>
      </w:r>
    </w:p>
    <w:p>
      <w:pPr>
        <w:spacing w:after="160"/>
      </w:pPr>
      <w:r>
        <w:t xml:space="preserve">Gangtok (East Sikkim) is by a wide margin the highest-generating district in absolute terms, accounting for 58.2% of total state generation (42,500 of 73,000 kg) despite holding only 37.8% of the state's population — reflecting its status as the state capital and principal urban/commercial centre. Namchi and Gyalshing follow at considerably lower absolute volumes, while Mangan (North Sikkim), the least populous and most remote district, records the lowest absolute generation.</w:t>
      </w:r>
    </w:p>
    <w:p>
      <w:pPr>
        <w:spacing w:after="160"/>
      </w:pPr>
      <w:r>
        <w:t xml:space="preserve">Unlike a per-capita-uniform generation model, per-capita generation across Sikkim's districts varies meaningfully — from </w:t>
      </w:r>
      <w:r>
        <w:rPr>
          <w:b/>
          <w:bCs/>
        </w:rPr>
        <w:t xml:space="preserve">0.150 kg/person in Gangtok</w:t>
      </w:r>
      <w:r>
        <w:t xml:space="preserve"> down to </w:t>
      </w:r>
      <w:r>
        <w:rPr>
          <w:b/>
          <w:bCs/>
        </w:rPr>
        <w:t xml:space="preserve">0.051 kg/person in Soreng</w:t>
      </w:r>
      <w:r>
        <w:t xml:space="preserve">, roughly a 3x spread. This indicates the workbook's district-wise figures reflect genuine differentiation by urbanisation and market access rather than a flat statewide per-capita assumption. The state-average per-capita generation of </w:t>
      </w:r>
      <w:r>
        <w:rPr>
          <w:b/>
          <w:bCs/>
        </w:rPr>
        <w:t xml:space="preserve">0.097 kg/person</w:t>
      </w:r>
      <w:r>
        <w:t xml:space="preserve"> is markedly lower than typically reported for larger, more urbanised states, consistent with Sikkim's small population, low industrial base, and predominantly rural/hill-town character. This lower per-capita figure should nonetheless be corroborated against ground-level waste characterisation studies in future reporting cycles, as under-reporting in remote districts cannot be ruled out.</w:t>
      </w:r>
    </w:p>
    <w:p>
      <w:pPr>
        <w:pStyle w:val="Heading2"/>
        <w:spacing w:after="120" w:before="240"/>
      </w:pPr>
      <w:r>
        <w:t xml:space="preserve">4.4 District-wise Detail (Full Category Breakup)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200"/>
        <w:gridCol w:w="1100"/>
        <w:gridCol w:w="1100"/>
        <w:gridCol w:w="1000"/>
      </w:tblGrid>
      <w:tr>
        <w:trPr>
          <w:tblHeader/>
        </w:trPr>
        <w:tc>
          <w:tcPr>
            <w:tcW w:type="dxa" w:w="19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Population</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IT &amp; Telecom (kg)</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Consumer Elec. (kg)</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L&amp;S Equip. (kg)</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Lighting (kg)</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Batteries (kg)</w:t>
            </w:r>
          </w:p>
        </w:tc>
        <w:tc>
          <w:tcPr>
            <w:tcW w:type="dxa" w:w="1000"/>
            <w:shd w:fill="D9D9D9" w:val="clear"/>
            <w:tcMar>
              <w:top w:type="dxa" w:w="60"/>
              <w:left w:type="dxa" w:w="100"/>
              <w:bottom w:type="dxa" w:w="60"/>
              <w:right w:type="dxa" w:w="100"/>
            </w:tcMar>
            <w:vAlign w:val="center"/>
          </w:tcPr>
          <w:p>
            <w:pPr>
              <w:jc w:val="left"/>
            </w:pPr>
            <w:r>
              <w:rPr>
                <w:b/>
                <w:bCs/>
                <w:sz w:val="19"/>
                <w:szCs w:val="19"/>
              </w:rPr>
              <w:t xml:space="preserve">Other (kg)</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Gangtok (East Sikkim)</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2,83,583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20,000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10,000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5,000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4,000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1,500</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Namchi (South Sikkim)</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1,46,850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6,000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3,000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600</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Gyalshing (West Sikkim)</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1,36,299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600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400</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Mangan (North Sikkim)</w:t>
            </w:r>
          </w:p>
        </w:tc>
        <w:tc>
          <w:tcPr>
            <w:tcW w:type="dxa" w:w="1300"/>
            <w:tcMar>
              <w:top w:type="dxa" w:w="60"/>
              <w:left w:type="dxa" w:w="100"/>
              <w:bottom w:type="dxa" w:w="60"/>
              <w:right w:type="dxa" w:w="100"/>
            </w:tcMar>
            <w:vAlign w:val="center"/>
          </w:tcPr>
          <w:p>
            <w:pPr>
              <w:jc w:val="center"/>
            </w:pPr>
            <w:r>
              <w:rPr>
                <w:b w:val="false"/>
                <w:bCs w:val="false"/>
                <w:sz w:val="19"/>
                <w:szCs w:val="19"/>
              </w:rPr>
              <w:t xml:space="preserve">43,709</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400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200</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Pakyong</w:t>
            </w:r>
          </w:p>
        </w:tc>
        <w:tc>
          <w:tcPr>
            <w:tcW w:type="dxa" w:w="1300"/>
            <w:tcMar>
              <w:top w:type="dxa" w:w="60"/>
              <w:left w:type="dxa" w:w="100"/>
              <w:bottom w:type="dxa" w:w="60"/>
              <w:right w:type="dxa" w:w="100"/>
            </w:tcMar>
            <w:vAlign w:val="center"/>
          </w:tcPr>
          <w:p>
            <w:pPr>
              <w:jc w:val="center"/>
            </w:pPr>
            <w:r>
              <w:rPr>
                <w:b w:val="false"/>
                <w:bCs w:val="false"/>
                <w:sz w:val="19"/>
                <w:szCs w:val="19"/>
              </w:rPr>
              <w:t xml:space="preserve">74,583</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300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200</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Soreng</w:t>
            </w:r>
          </w:p>
        </w:tc>
        <w:tc>
          <w:tcPr>
            <w:tcW w:type="dxa" w:w="1300"/>
            <w:tcMar>
              <w:top w:type="dxa" w:w="60"/>
              <w:left w:type="dxa" w:w="100"/>
              <w:bottom w:type="dxa" w:w="60"/>
              <w:right w:type="dxa" w:w="100"/>
            </w:tcMar>
            <w:vAlign w:val="center"/>
          </w:tcPr>
          <w:p>
            <w:pPr>
              <w:jc w:val="center"/>
            </w:pPr>
            <w:r>
              <w:rPr>
                <w:b w:val="false"/>
                <w:bCs w:val="false"/>
                <w:sz w:val="19"/>
                <w:szCs w:val="19"/>
              </w:rPr>
              <w:t xml:space="preserve">64,760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1,500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800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400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200</w:t>
            </w:r>
          </w:p>
        </w:tc>
      </w:tr>
    </w:tbl>
    <w:p>
      <w:r>
        <w:br w:type="page"/>
      </w:r>
    </w:p>
    <w:p>
      <w:pPr>
        <w:pStyle w:val="Heading1"/>
        <w:spacing w:after="150" w:before="300"/>
      </w:pPr>
      <w:r>
        <w:t xml:space="preserve">5. Collection Performance</w:t>
      </w:r>
    </w:p>
    <w:p>
      <w:pPr>
        <w:spacing w:after="160"/>
      </w:pPr>
      <w:r>
        <w:t xml:space="preserve">Source: 2_Collection_Log sheet, cross-referenced with generation figures from 1_Generation_Inventory.</w:t>
      </w:r>
    </w:p>
    <w:p>
      <w:pPr>
        <w:spacing w:after="160"/>
      </w:pPr>
      <w:r>
        <w:t xml:space="preserve">State collection rate = Total Collected / Total Generated = 14,000 kg / 73,000 kg = </w:t>
      </w:r>
      <w:r>
        <w:rPr>
          <w:b/>
          <w:bCs/>
        </w:rPr>
        <w:t xml:space="preserve">19.18%</w:t>
      </w:r>
      <w:r>
        <w:t xml:space="preserve">. State-level EPR collection achievement stands at 14,000 kg against an EPR collection target of 30,000 kg, i.e. </w:t>
      </w:r>
      <w:r>
        <w:rPr>
          <w:b/>
          <w:bCs/>
        </w:rPr>
        <w:t xml:space="preserve">46.67% of target</w:t>
      </w:r>
      <w:r>
        <w:t xml:space="preserve">. A total of </w:t>
      </w:r>
      <w:r>
        <w:rPr>
          <w:b/>
          <w:bCs/>
        </w:rPr>
        <w:t xml:space="preserve">2 registered collection centers</w:t>
      </w:r>
      <w:r>
        <w:t xml:space="preserve"> are recorded statewide, both located in Gangtok (East Sikkim).</w:t>
      </w:r>
    </w:p>
    <w:p>
      <w:pPr>
        <w:pStyle w:val="Heading2"/>
        <w:spacing w:after="120" w:before="240"/>
      </w:pPr>
      <w:r>
        <w:t xml:space="preserve">5.1 District-wise Collection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900"/>
        <w:gridCol w:w="1500"/>
        <w:gridCol w:w="1400"/>
        <w:gridCol w:w="1700"/>
      </w:tblGrid>
      <w:tr>
        <w:trPr>
          <w:tblHeader/>
        </w:trPr>
        <w:tc>
          <w:tcPr>
            <w:tcW w:type="dxa" w:w="20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Generated (kg)</w:t>
            </w:r>
          </w:p>
        </w:tc>
        <w:tc>
          <w:tcPr>
            <w:tcW w:type="dxa" w:w="1900"/>
            <w:shd w:fill="D9D9D9" w:val="clear"/>
            <w:tcMar>
              <w:top w:type="dxa" w:w="60"/>
              <w:left w:type="dxa" w:w="100"/>
              <w:bottom w:type="dxa" w:w="60"/>
              <w:right w:type="dxa" w:w="100"/>
            </w:tcMar>
            <w:vAlign w:val="center"/>
          </w:tcPr>
          <w:p>
            <w:pPr>
              <w:jc w:val="left"/>
            </w:pPr>
            <w:r>
              <w:rPr>
                <w:b/>
                <w:bCs/>
                <w:sz w:val="19"/>
                <w:szCs w:val="19"/>
              </w:rPr>
              <w:t xml:space="preserve">Collected (kg) [Rate %]</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Reg. Collection Centers</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EPR Target (kg)</w:t>
            </w:r>
          </w:p>
        </w:tc>
        <w:tc>
          <w:tcPr>
            <w:tcW w:type="dxa" w:w="1700"/>
            <w:shd w:fill="D9D9D9" w:val="clear"/>
            <w:tcMar>
              <w:top w:type="dxa" w:w="60"/>
              <w:left w:type="dxa" w:w="100"/>
              <w:bottom w:type="dxa" w:w="60"/>
              <w:right w:type="dxa" w:w="100"/>
            </w:tcMar>
            <w:vAlign w:val="center"/>
          </w:tcPr>
          <w:p>
            <w:pPr>
              <w:jc w:val="left"/>
            </w:pPr>
            <w:r>
              <w:rPr>
                <w:b/>
                <w:bCs/>
                <w:sz w:val="19"/>
                <w:szCs w:val="19"/>
              </w:rPr>
              <w:t xml:space="preserve">EPR Achieved (kg) [%]</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Gangtok (East Sikkim)</w:t>
            </w:r>
          </w:p>
        </w:tc>
        <w:tc>
          <w:tcPr>
            <w:tcW w:type="dxa" w:w="1500"/>
            <w:tcMar>
              <w:top w:type="dxa" w:w="60"/>
              <w:left w:type="dxa" w:w="100"/>
              <w:bottom w:type="dxa" w:w="60"/>
              <w:right w:type="dxa" w:w="100"/>
            </w:tcMar>
            <w:vAlign w:val="center"/>
          </w:tcPr>
          <w:p>
            <w:pPr>
              <w:jc w:val="center"/>
            </w:pPr>
            <w:r>
              <w:rPr>
                <w:b w:val="false"/>
                <w:bCs w:val="false"/>
                <w:sz w:val="19"/>
                <w:szCs w:val="19"/>
              </w:rPr>
              <w:t xml:space="preserve">42,500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8,500 (20.00%)</w:t>
            </w:r>
          </w:p>
        </w:tc>
        <w:tc>
          <w:tcPr>
            <w:tcW w:type="dxa" w:w="1500"/>
            <w:tcMar>
              <w:top w:type="dxa" w:w="60"/>
              <w:left w:type="dxa" w:w="100"/>
              <w:bottom w:type="dxa" w:w="60"/>
              <w:right w:type="dxa" w:w="100"/>
            </w:tcMar>
            <w:vAlign w:val="center"/>
          </w:tcPr>
          <w:p>
            <w:pPr>
              <w:jc w:val="center"/>
            </w:pPr>
            <w:r>
              <w:rPr>
                <w:b w:val="false"/>
                <w:bCs w:val="false"/>
                <w:sz w:val="19"/>
                <w:szCs w:val="19"/>
              </w:rPr>
              <w:t xml:space="preserve">2</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20,000</w:t>
            </w:r>
          </w:p>
        </w:tc>
        <w:tc>
          <w:tcPr>
            <w:tcW w:type="dxa" w:w="1700"/>
            <w:tcMar>
              <w:top w:type="dxa" w:w="60"/>
              <w:left w:type="dxa" w:w="100"/>
              <w:bottom w:type="dxa" w:w="60"/>
              <w:right w:type="dxa" w:w="100"/>
            </w:tcMar>
            <w:vAlign w:val="center"/>
          </w:tcPr>
          <w:p>
            <w:pPr>
              <w:jc w:val="center"/>
            </w:pPr>
            <w:r>
              <w:rPr>
                <w:b w:val="false"/>
                <w:bCs w:val="false"/>
                <w:sz w:val="19"/>
                <w:szCs w:val="19"/>
              </w:rPr>
              <w:t xml:space="preserve">8,500 (42.50%)</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Namchi (South Sikkim)</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12,100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2,100 (17.36%)</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5,000</w:t>
            </w:r>
          </w:p>
        </w:tc>
        <w:tc>
          <w:tcPr>
            <w:tcW w:type="dxa" w:w="1700"/>
            <w:tcMar>
              <w:top w:type="dxa" w:w="60"/>
              <w:left w:type="dxa" w:w="100"/>
              <w:bottom w:type="dxa" w:w="60"/>
              <w:right w:type="dxa" w:w="100"/>
            </w:tcMar>
            <w:vAlign w:val="center"/>
          </w:tcPr>
          <w:p>
            <w:pPr>
              <w:jc w:val="center"/>
            </w:pPr>
            <w:r>
              <w:rPr>
                <w:b w:val="false"/>
                <w:bCs w:val="false"/>
                <w:sz w:val="19"/>
                <w:szCs w:val="19"/>
              </w:rPr>
              <w:t xml:space="preserve">2,100 (42.00%)</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Gyalshing (West Sikkim)</w:t>
            </w:r>
          </w:p>
        </w:tc>
        <w:tc>
          <w:tcPr>
            <w:tcW w:type="dxa" w:w="1500"/>
            <w:tcMar>
              <w:top w:type="dxa" w:w="60"/>
              <w:left w:type="dxa" w:w="100"/>
              <w:bottom w:type="dxa" w:w="60"/>
              <w:right w:type="dxa" w:w="100"/>
            </w:tcMar>
            <w:vAlign w:val="center"/>
          </w:tcPr>
          <w:p>
            <w:pPr>
              <w:jc w:val="center"/>
            </w:pPr>
            <w:r>
              <w:rPr>
                <w:b w:val="false"/>
                <w:bCs w:val="false"/>
                <w:sz w:val="19"/>
                <w:szCs w:val="19"/>
              </w:rPr>
              <w:t xml:space="preserve">8,500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1,200 (14.12%)</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700"/>
            <w:tcMar>
              <w:top w:type="dxa" w:w="60"/>
              <w:left w:type="dxa" w:w="100"/>
              <w:bottom w:type="dxa" w:w="60"/>
              <w:right w:type="dxa" w:w="100"/>
            </w:tcMar>
            <w:vAlign w:val="center"/>
          </w:tcPr>
          <w:p>
            <w:pPr>
              <w:jc w:val="center"/>
            </w:pPr>
            <w:r>
              <w:rPr>
                <w:b w:val="false"/>
                <w:bCs w:val="false"/>
                <w:sz w:val="19"/>
                <w:szCs w:val="19"/>
              </w:rPr>
              <w:t xml:space="preserve">1,200 (60.00%)</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Mangan (North Sikkim)</w:t>
            </w:r>
          </w:p>
        </w:tc>
        <w:tc>
          <w:tcPr>
            <w:tcW w:type="dxa" w:w="1500"/>
            <w:tcMar>
              <w:top w:type="dxa" w:w="60"/>
              <w:left w:type="dxa" w:w="100"/>
              <w:bottom w:type="dxa" w:w="60"/>
              <w:right w:type="dxa" w:w="100"/>
            </w:tcMar>
            <w:vAlign w:val="center"/>
          </w:tcPr>
          <w:p>
            <w:pPr>
              <w:jc w:val="center"/>
            </w:pPr>
            <w:r>
              <w:rPr>
                <w:b w:val="false"/>
                <w:bCs w:val="false"/>
                <w:sz w:val="19"/>
                <w:szCs w:val="19"/>
              </w:rPr>
              <w:t xml:space="preserve">2,400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500 (20.83%)</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700"/>
            <w:tcMar>
              <w:top w:type="dxa" w:w="60"/>
              <w:left w:type="dxa" w:w="100"/>
              <w:bottom w:type="dxa" w:w="60"/>
              <w:right w:type="dxa" w:w="100"/>
            </w:tcMar>
            <w:vAlign w:val="center"/>
          </w:tcPr>
          <w:p>
            <w:pPr>
              <w:jc w:val="center"/>
            </w:pPr>
            <w:r>
              <w:rPr>
                <w:b w:val="false"/>
                <w:bCs w:val="false"/>
                <w:sz w:val="19"/>
                <w:szCs w:val="19"/>
              </w:rPr>
              <w:t xml:space="preserve">500 (50.00%)</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Pakyong</w:t>
            </w:r>
          </w:p>
        </w:tc>
        <w:tc>
          <w:tcPr>
            <w:tcW w:type="dxa" w:w="1500"/>
            <w:tcMar>
              <w:top w:type="dxa" w:w="60"/>
              <w:left w:type="dxa" w:w="100"/>
              <w:bottom w:type="dxa" w:w="60"/>
              <w:right w:type="dxa" w:w="100"/>
            </w:tcMar>
            <w:vAlign w:val="center"/>
          </w:tcPr>
          <w:p>
            <w:pPr>
              <w:jc w:val="center"/>
            </w:pPr>
            <w:r>
              <w:rPr>
                <w:b w:val="false"/>
                <w:bCs w:val="false"/>
                <w:sz w:val="19"/>
                <w:szCs w:val="19"/>
              </w:rPr>
              <w:t xml:space="preserve">4,200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800 (19.05%)</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700"/>
            <w:tcMar>
              <w:top w:type="dxa" w:w="60"/>
              <w:left w:type="dxa" w:w="100"/>
              <w:bottom w:type="dxa" w:w="60"/>
              <w:right w:type="dxa" w:w="100"/>
            </w:tcMar>
            <w:vAlign w:val="center"/>
          </w:tcPr>
          <w:p>
            <w:pPr>
              <w:jc w:val="center"/>
            </w:pPr>
            <w:r>
              <w:rPr>
                <w:b w:val="false"/>
                <w:bCs w:val="false"/>
                <w:sz w:val="19"/>
                <w:szCs w:val="19"/>
              </w:rPr>
              <w:t xml:space="preserve">800 (80.00%)</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Soreng</w:t>
            </w:r>
          </w:p>
        </w:tc>
        <w:tc>
          <w:tcPr>
            <w:tcW w:type="dxa" w:w="1500"/>
            <w:tcMar>
              <w:top w:type="dxa" w:w="60"/>
              <w:left w:type="dxa" w:w="100"/>
              <w:bottom w:type="dxa" w:w="60"/>
              <w:right w:type="dxa" w:w="100"/>
            </w:tcMar>
            <w:vAlign w:val="center"/>
          </w:tcPr>
          <w:p>
            <w:pPr>
              <w:jc w:val="center"/>
            </w:pPr>
            <w:r>
              <w:rPr>
                <w:b w:val="false"/>
                <w:bCs w:val="false"/>
                <w:sz w:val="19"/>
                <w:szCs w:val="19"/>
              </w:rPr>
              <w:t xml:space="preserve">3,300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900 (27.27%)</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700"/>
            <w:tcMar>
              <w:top w:type="dxa" w:w="60"/>
              <w:left w:type="dxa" w:w="100"/>
              <w:bottom w:type="dxa" w:w="60"/>
              <w:right w:type="dxa" w:w="100"/>
            </w:tcMar>
            <w:vAlign w:val="center"/>
          </w:tcPr>
          <w:p>
            <w:pPr>
              <w:jc w:val="center"/>
            </w:pPr>
            <w:r>
              <w:rPr>
                <w:b w:val="false"/>
                <w:bCs w:val="false"/>
                <w:sz w:val="19"/>
                <w:szCs w:val="19"/>
              </w:rPr>
              <w:t xml:space="preserve">900 (90.00%)</w:t>
            </w:r>
          </w:p>
        </w:tc>
      </w:tr>
    </w:tbl>
    <w:p>
      <w:pPr>
        <w:pStyle w:val="Heading2"/>
        <w:spacing w:after="120" w:before="240"/>
      </w:pPr>
      <w:r>
        <w:t xml:space="preserve">5.2 Narrative Assessment</w:t>
      </w:r>
    </w:p>
    <w:p>
      <w:pPr>
        <w:spacing w:after="160"/>
      </w:pPr>
      <w:r>
        <w:t xml:space="preserve">Against the benchmark entered on the "0_Scorecard" sheet (100% collection target), the state's achieved collection rate of 19.18% represents a shortfall of 80.82 percentage points — a substantially wider gap than typically seen in states with established decentralised collection networks.</w:t>
      </w:r>
    </w:p>
    <w:p>
      <w:pPr>
        <w:spacing w:after="160"/>
      </w:pPr>
      <w:r>
        <w:t xml:space="preserve">Five of Sikkim's six districts (Namchi, Gyalshing, Mangan, Pakyong, Soreng) record zero registered collection centers. Only Gangtok reports any dedicated collection infrastructure (2 centers). The Collection Log's Remarks field, populated for only Gangtok ("Mostly institutional") and Namchi ("Limited household collection"), contains no equivalent of a statewide coordinating body or door-to-door collection scheme (comparable to Kerala's Haritha Karma Sena / Clean Kerala Company Limited model); no such mechanism is recorded anywhere in this workbook.</w:t>
      </w:r>
    </w:p>
    <w:p>
      <w:pPr>
        <w:spacing w:after="160"/>
      </w:pPr>
      <w:r>
        <w:t xml:space="preserve">Notwithstanding the low absolute collection rate, EPR achievement-against-target varies widely by district: Soreng (90.00%) and Pakyong (80.00%) both substantially exceed Gangtok's EPR achievement (42.50%) and Namchi's (42.00%), despite having no registered collection centers of their own — suggesting their EPR targets have been set at a level low enough to be met through channels outside formal local collection infrastructure, rather than reflecting stronger underlying collection performance.</w:t>
      </w:r>
    </w:p>
    <w:p>
      <w:r>
        <w:br w:type="page"/>
      </w:r>
    </w:p>
    <w:p>
      <w:pPr>
        <w:pStyle w:val="Heading1"/>
        <w:spacing w:after="150" w:before="300"/>
      </w:pPr>
      <w:r>
        <w:t xml:space="preserve">6. Formal Recycling &amp; Treatment Infrastructure</w:t>
      </w:r>
    </w:p>
    <w:p>
      <w:pPr>
        <w:spacing w:after="160"/>
      </w:pPr>
      <w:r>
        <w:t xml:space="preserve">Source: 3_Recycling_Infrastructure sheet.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1500"/>
        <w:gridCol w:w="1400"/>
        <w:gridCol w:w="1300"/>
      </w:tblGrid>
      <w:tr>
        <w:trPr>
          <w:tblHeader/>
        </w:trPr>
        <w:tc>
          <w:tcPr>
            <w:tcW w:type="dxa" w:w="3400"/>
            <w:shd w:fill="D9D9D9" w:val="clear"/>
            <w:tcMar>
              <w:top w:type="dxa" w:w="60"/>
              <w:left w:type="dxa" w:w="100"/>
              <w:bottom w:type="dxa" w:w="60"/>
              <w:right w:type="dxa" w:w="100"/>
            </w:tcMar>
            <w:vAlign w:val="center"/>
          </w:tcPr>
          <w:p>
            <w:pPr>
              <w:jc w:val="left"/>
            </w:pPr>
            <w:r>
              <w:rPr>
                <w:b/>
                <w:bCs/>
                <w:sz w:val="19"/>
                <w:szCs w:val="19"/>
              </w:rPr>
              <w:t xml:space="preserve">Recycler / Dismantler</w:t>
            </w:r>
          </w:p>
        </w:tc>
        <w:tc>
          <w:tcPr>
            <w:tcW w:type="dxa" w:w="1800"/>
            <w:shd w:fill="D9D9D9" w:val="clear"/>
            <w:tcMar>
              <w:top w:type="dxa" w:w="60"/>
              <w:left w:type="dxa" w:w="100"/>
              <w:bottom w:type="dxa" w:w="60"/>
              <w:right w:type="dxa" w:w="100"/>
            </w:tcMar>
            <w:vAlign w:val="center"/>
          </w:tcPr>
          <w:p>
            <w:pPr>
              <w:jc w:val="left"/>
            </w:pPr>
            <w:r>
              <w:rPr>
                <w:b/>
                <w:bCs/>
                <w:sz w:val="19"/>
                <w:szCs w:val="19"/>
              </w:rPr>
              <w:t xml:space="preserve">Authorisation No.</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Installed Capacity (t/yr)</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Processed This Year (t)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Material Recovery</w:t>
            </w:r>
          </w:p>
        </w:tc>
      </w:tr>
      <w:tr>
        <w:tc>
          <w:tcPr>
            <w:tcW w:type="dxa" w:w="3400"/>
            <w:tcMar>
              <w:top w:type="dxa" w:w="60"/>
              <w:left w:type="dxa" w:w="100"/>
              <w:bottom w:type="dxa" w:w="60"/>
              <w:right w:type="dxa" w:w="100"/>
            </w:tcMar>
            <w:vAlign w:val="center"/>
          </w:tcPr>
          <w:p>
            <w:pPr>
              <w:jc w:val="left"/>
            </w:pPr>
            <w:r>
              <w:rPr>
                <w:b w:val="false"/>
                <w:bCs w:val="false"/>
                <w:sz w:val="19"/>
                <w:szCs w:val="19"/>
              </w:rPr>
              <w:t xml:space="preserve">No Local Facilities – Transported to West Bengal</w:t>
            </w:r>
          </w:p>
        </w:tc>
        <w:tc>
          <w:tcPr>
            <w:tcW w:type="dxa" w:w="1800"/>
            <w:tcMar>
              <w:top w:type="dxa" w:w="60"/>
              <w:left w:type="dxa" w:w="100"/>
              <w:bottom w:type="dxa" w:w="60"/>
              <w:right w:type="dxa" w:w="100"/>
            </w:tcMar>
            <w:vAlign w:val="center"/>
          </w:tcPr>
          <w:p>
            <w:pPr>
              <w:jc w:val="center"/>
            </w:pPr>
            <w:r>
              <w:rPr>
                <w:b w:val="false"/>
                <w:bCs w:val="false"/>
                <w:sz w:val="19"/>
                <w:szCs w:val="19"/>
              </w:rPr>
              <w:t xml:space="preserve">SK/WB-Auth/2026</w:t>
            </w:r>
          </w:p>
        </w:tc>
        <w:tc>
          <w:tcPr>
            <w:tcW w:type="dxa" w:w="1600"/>
            <w:tcMar>
              <w:top w:type="dxa" w:w="60"/>
              <w:left w:type="dxa" w:w="100"/>
              <w:bottom w:type="dxa" w:w="60"/>
              <w:right w:type="dxa" w:w="100"/>
            </w:tcMar>
            <w:vAlign w:val="center"/>
          </w:tcPr>
          <w:p>
            <w:pPr>
              <w:jc w:val="center"/>
            </w:pPr>
            <w:r>
              <w:rPr>
                <w:b w:val="false"/>
                <w:bCs w:val="false"/>
                <w:sz w:val="19"/>
                <w:szCs w:val="19"/>
              </w:rPr>
              <w:t xml:space="preserve">All Districts</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24.1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N/A</w:t>
            </w:r>
          </w:p>
        </w:tc>
      </w:tr>
    </w:tbl>
    <w:p>
      <w:pPr>
        <w:spacing w:after="160"/>
      </w:pPr>
      <w:r>
        <w:t xml:space="preserve">Sikkim has no in-state CPCB/SPCB-authorised e-waste recycling or dismantling facility. The single entry in this sheet is an out-of-state transport arrangement (to West Bengal); its "Installed Capacity" figure (100 t/yr) most likely reflects an allocated transport/processing quota under that inter-state arrangement rather than dedicated in-state infrastructure, and its Material Recovery Rate is recorded as "N/A" — not measured or not disclosed. This makes Category 3 (Formal Recycling &amp; Treatment) the single least-verifiable and lowest-scoring category in this report (see Sections 3.2 and 11); SSPCB should obtain a verified recovery-rate figure from the West Bengal facility handling Sikkim's e-waste before the next reporting cycle.</w:t>
      </w:r>
    </w:p>
    <w:p>
      <w:pPr>
        <w:pStyle w:val="Heading2"/>
        <w:spacing w:after="120" w:before="240"/>
      </w:pPr>
      <w:r>
        <w:t xml:space="preserve">6.1 Capacity vs. Generation Adequacy</w:t>
      </w:r>
    </w:p>
    <w:p>
      <w:pPr>
        <w:spacing w:after="160"/>
      </w:pPr>
      <w:r>
        <w:t xml:space="preserve">Total nominal recycling/processing capacity associated with Sikkim's e-waste (via the West Bengal arrangement) is </w:t>
      </w:r>
      <w:r>
        <w:rPr>
          <w:b/>
          <w:bCs/>
        </w:rPr>
        <w:t xml:space="preserve">100 tonnes/year</w:t>
      </w:r>
      <w:r>
        <w:t xml:space="preserve">, against total state e-waste generation of </w:t>
      </w:r>
      <w:r>
        <w:rPr>
          <w:b/>
          <w:bCs/>
        </w:rPr>
        <w:t xml:space="preserve">73.00 tonnes/year</w:t>
      </w:r>
      <w:r>
        <w:t xml:space="preserve"> for the period – a nominal capacity-to-generation ratio of </w:t>
      </w:r>
      <w:r>
        <w:rPr>
          <w:b/>
          <w:bCs/>
        </w:rPr>
        <w:t xml:space="preserve">136.99%</w:t>
      </w:r>
      <w:r>
        <w:t xml:space="preserve">. Total quantity actually processed under this arrangement this year is </w:t>
      </w:r>
      <w:r>
        <w:rPr>
          <w:b/>
          <w:bCs/>
        </w:rPr>
        <w:t xml:space="preserve">24.1 tonnes</w:t>
      </w:r>
      <w:r>
        <w:t xml:space="preserve">, or </w:t>
      </w:r>
      <w:r>
        <w:rPr>
          <w:b/>
          <w:bCs/>
        </w:rPr>
        <w:t xml:space="preserve">33.01% of total state generation</w:t>
      </w:r>
      <w:r>
        <w:t xml:space="preserve">. Unlike the capacity figure, which nominally exceeds generation, actual throughput remains well below the volume of e-waste generated statewide — indicating that, notwithstanding the capacity on paper, the majority of Sikkim's generated e-waste (66.99%) is not confirmed to have reached a formal, authorised recycling channel during the period.</w:t>
      </w:r>
    </w:p>
    <w:p>
      <w:pPr>
        <w:pStyle w:val="Heading2"/>
        <w:spacing w:after="120" w:before="240"/>
      </w:pPr>
      <w:r>
        <w:t xml:space="preserve">6.2 Material Recovery Performance</w:t>
      </w:r>
    </w:p>
    <w:p>
      <w:pPr>
        <w:spacing w:after="160"/>
      </w:pPr>
      <w:r>
        <w:t xml:space="preserve">No material recovery rate figure is available in the workbook for Sikkim's sole recycling arrangement (recorded as "N/A"). Consequently, neither a simple-average nor a quantity-weighted-average material recovery rate can be computed for the state — in contrast to states with multiple in-state authorised facilities where such an average can be derived directly from reported recovery rates. This is recorded as a critical data gap rather than a zero-recovery finding, and is the primary driver of Category 3's 0% score in Section 11.</w:t>
      </w:r>
    </w:p>
    <w:p>
      <w:r>
        <w:br w:type="page"/>
      </w:r>
    </w:p>
    <w:p>
      <w:pPr>
        <w:pStyle w:val="Heading1"/>
        <w:spacing w:after="150" w:before="300"/>
      </w:pPr>
      <w:r>
        <w:t xml:space="preserve">7. Regulatory Compliance</w:t>
      </w:r>
    </w:p>
    <w:p>
      <w:pPr>
        <w:spacing w:after="160"/>
      </w:pPr>
      <w:r>
        <w:t xml:space="preserve">Source: 4_Compliance_Tracker sheet. 2 registered producers/EPR entities are recorded for the state.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500"/>
        <w:gridCol w:w="2500"/>
      </w:tblGrid>
      <w:tr>
        <w:trPr>
          <w:tblHeader/>
        </w:trPr>
        <w:tc>
          <w:tcPr>
            <w:tcW w:type="dxa" w:w="5500"/>
            <w:shd w:fill="D9D9D9" w:val="clear"/>
            <w:tcMar>
              <w:top w:type="dxa" w:w="60"/>
              <w:left w:type="dxa" w:w="100"/>
              <w:bottom w:type="dxa" w:w="60"/>
              <w:right w:type="dxa" w:w="100"/>
            </w:tcMar>
            <w:vAlign w:val="center"/>
          </w:tcPr>
          <w:p>
            <w:pPr>
              <w:jc w:val="left"/>
            </w:pPr>
            <w:r>
              <w:rPr>
                <w:b/>
                <w:bCs/>
                <w:sz w:val="19"/>
                <w:szCs w:val="19"/>
              </w:rPr>
              <w:t xml:space="preserve">Metric</w:t>
            </w:r>
          </w:p>
        </w:tc>
        <w:tc>
          <w:tcPr>
            <w:tcW w:type="dxa" w:w="2500"/>
            <w:shd w:fill="D9D9D9" w:val="clear"/>
            <w:tcMar>
              <w:top w:type="dxa" w:w="60"/>
              <w:left w:type="dxa" w:w="100"/>
              <w:bottom w:type="dxa" w:w="60"/>
              <w:right w:type="dxa" w:w="100"/>
            </w:tcMar>
            <w:vAlign w:val="center"/>
          </w:tcPr>
          <w:p>
            <w:pPr>
              <w:jc w:val="left"/>
            </w:pPr>
            <w:r>
              <w:rPr>
                <w:b/>
                <w:bCs/>
                <w:sz w:val="19"/>
                <w:szCs w:val="19"/>
              </w:rPr>
              <w:t xml:space="preserve">Value</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Total Registered Producers / EPR Entities</w:t>
            </w:r>
          </w:p>
        </w:tc>
        <w:tc>
          <w:tcPr>
            <w:tcW w:type="dxa" w:w="2500"/>
            <w:tcMar>
              <w:top w:type="dxa" w:w="60"/>
              <w:left w:type="dxa" w:w="100"/>
              <w:bottom w:type="dxa" w:w="60"/>
              <w:right w:type="dxa" w:w="100"/>
            </w:tcMar>
            <w:vAlign w:val="center"/>
          </w:tcPr>
          <w:p>
            <w:pPr>
              <w:jc w:val="center"/>
            </w:pPr>
            <w:r>
              <w:rPr>
                <w:b w:val="false"/>
                <w:bCs w:val="false"/>
                <w:sz w:val="19"/>
                <w:szCs w:val="19"/>
              </w:rPr>
              <w:t xml:space="preserve">2</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Compliant</w:t>
            </w:r>
          </w:p>
        </w:tc>
        <w:tc>
          <w:tcPr>
            <w:tcW w:type="dxa" w:w="2500"/>
            <w:tcMar>
              <w:top w:type="dxa" w:w="60"/>
              <w:left w:type="dxa" w:w="100"/>
              <w:bottom w:type="dxa" w:w="60"/>
              <w:right w:type="dxa" w:w="100"/>
            </w:tcMar>
            <w:vAlign w:val="center"/>
          </w:tcPr>
          <w:p>
            <w:pPr>
              <w:jc w:val="center"/>
            </w:pPr>
            <w:r>
              <w:rPr>
                <w:b w:val="false"/>
                <w:bCs w:val="false"/>
                <w:sz w:val="19"/>
                <w:szCs w:val="19"/>
              </w:rPr>
              <w:t xml:space="preserve">1 (50%)</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Partially Compliant</w:t>
            </w:r>
          </w:p>
        </w:tc>
        <w:tc>
          <w:tcPr>
            <w:tcW w:type="dxa" w:w="2500"/>
            <w:tcMar>
              <w:top w:type="dxa" w:w="60"/>
              <w:left w:type="dxa" w:w="100"/>
              <w:bottom w:type="dxa" w:w="60"/>
              <w:right w:type="dxa" w:w="100"/>
            </w:tcMar>
            <w:vAlign w:val="center"/>
          </w:tcPr>
          <w:p>
            <w:pPr>
              <w:jc w:val="center"/>
            </w:pPr>
            <w:r>
              <w:rPr>
                <w:b w:val="false"/>
                <w:bCs w:val="false"/>
                <w:sz w:val="19"/>
                <w:szCs w:val="19"/>
              </w:rPr>
              <w:t xml:space="preserve">0 (0%)</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Non-Compliant</w:t>
            </w:r>
          </w:p>
        </w:tc>
        <w:tc>
          <w:tcPr>
            <w:tcW w:type="dxa" w:w="2500"/>
            <w:tcMar>
              <w:top w:type="dxa" w:w="60"/>
              <w:left w:type="dxa" w:w="100"/>
              <w:bottom w:type="dxa" w:w="60"/>
              <w:right w:type="dxa" w:w="100"/>
            </w:tcMar>
            <w:vAlign w:val="center"/>
          </w:tcPr>
          <w:p>
            <w:pPr>
              <w:jc w:val="center"/>
            </w:pPr>
            <w:r>
              <w:rPr>
                <w:b w:val="false"/>
                <w:bCs w:val="false"/>
                <w:sz w:val="19"/>
                <w:szCs w:val="19"/>
              </w:rPr>
              <w:t xml:space="preserve">1 (50%)</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Inspections Planned</w:t>
            </w:r>
          </w:p>
        </w:tc>
        <w:tc>
          <w:tcPr>
            <w:tcW w:type="dxa" w:w="2500"/>
            <w:tcMar>
              <w:top w:type="dxa" w:w="60"/>
              <w:left w:type="dxa" w:w="100"/>
              <w:bottom w:type="dxa" w:w="60"/>
              <w:right w:type="dxa" w:w="100"/>
            </w:tcMar>
            <w:vAlign w:val="center"/>
          </w:tcPr>
          <w:p>
            <w:pPr>
              <w:jc w:val="center"/>
            </w:pPr>
            <w:r>
              <w:rPr>
                <w:b w:val="false"/>
                <w:bCs w:val="false"/>
                <w:sz w:val="19"/>
                <w:szCs w:val="19"/>
              </w:rPr>
              <w:t xml:space="preserve">2</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Inspections Conducted</w:t>
            </w:r>
          </w:p>
        </w:tc>
        <w:tc>
          <w:tcPr>
            <w:tcW w:type="dxa" w:w="2500"/>
            <w:tcMar>
              <w:top w:type="dxa" w:w="60"/>
              <w:left w:type="dxa" w:w="100"/>
              <w:bottom w:type="dxa" w:w="60"/>
              <w:right w:type="dxa" w:w="100"/>
            </w:tcMar>
            <w:vAlign w:val="center"/>
          </w:tcPr>
          <w:p>
            <w:pPr>
              <w:jc w:val="center"/>
            </w:pPr>
            <w:r>
              <w:rPr>
                <w:b w:val="false"/>
                <w:bCs w:val="false"/>
                <w:sz w:val="19"/>
                <w:szCs w:val="19"/>
              </w:rPr>
              <w:t xml:space="preserve">1 (50.0% of planned)</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Penalties / Show-Cause Issued</w:t>
            </w:r>
          </w:p>
        </w:tc>
        <w:tc>
          <w:tcPr>
            <w:tcW w:type="dxa" w:w="2500"/>
            <w:tcMar>
              <w:top w:type="dxa" w:w="60"/>
              <w:left w:type="dxa" w:w="100"/>
              <w:bottom w:type="dxa" w:w="60"/>
              <w:right w:type="dxa" w:w="100"/>
            </w:tcMar>
            <w:vAlign w:val="center"/>
          </w:tcPr>
          <w:p>
            <w:pPr>
              <w:jc w:val="center"/>
            </w:pPr>
            <w:r>
              <w:rPr>
                <w:b w:val="false"/>
                <w:bCs w:val="false"/>
                <w:sz w:val="19"/>
                <w:szCs w:val="19"/>
              </w:rPr>
              <w:t xml:space="preserve">1</w:t>
            </w:r>
          </w:p>
        </w:tc>
      </w:tr>
      <w:tr>
        <w:tc>
          <w:tcPr>
            <w:tcW w:type="dxa" w:w="5500"/>
            <w:tcMar>
              <w:top w:type="dxa" w:w="60"/>
              <w:left w:type="dxa" w:w="100"/>
              <w:bottom w:type="dxa" w:w="60"/>
              <w:right w:type="dxa" w:w="100"/>
            </w:tcMar>
            <w:vAlign w:val="center"/>
          </w:tcPr>
          <w:p>
            <w:pPr>
              <w:jc w:val="left"/>
            </w:pPr>
            <w:r>
              <w:rPr>
                <w:b w:val="false"/>
                <w:bCs w:val="false"/>
                <w:sz w:val="19"/>
                <w:szCs w:val="19"/>
              </w:rPr>
              <w:t xml:space="preserve">Penalties Resolved (against issued penalties)</w:t>
            </w:r>
          </w:p>
        </w:tc>
        <w:tc>
          <w:tcPr>
            <w:tcW w:type="dxa" w:w="2500"/>
            <w:tcMar>
              <w:top w:type="dxa" w:w="60"/>
              <w:left w:type="dxa" w:w="100"/>
              <w:bottom w:type="dxa" w:w="60"/>
              <w:right w:type="dxa" w:w="100"/>
            </w:tcMar>
            <w:vAlign w:val="center"/>
          </w:tcPr>
          <w:p>
            <w:pPr>
              <w:jc w:val="center"/>
            </w:pPr>
            <w:r>
              <w:rPr>
                <w:b w:val="false"/>
                <w:bCs w:val="false"/>
                <w:sz w:val="19"/>
                <w:szCs w:val="19"/>
              </w:rPr>
              <w:t xml:space="preserve">0 (0.0% of issued)</w:t>
            </w:r>
          </w:p>
        </w:tc>
      </w:tr>
    </w:tbl>
    <w:p>
      <w:pPr>
        <w:spacing w:after="160"/>
      </w:pPr>
      <w:r>
        <w:rPr>
          <w:i/>
          <w:iCs/>
          <w:color w:val="555555"/>
          <w:sz w:val="19"/>
          <w:szCs w:val="19"/>
        </w:rPr>
        <w:t xml:space="preserve">Entity names "Entity A" and "Entity B" are placeholder identifiers pending verified SSPCB/CPCB EPR registration records and should not be presented as final registered entity names in the national submission.</w:t>
      </w:r>
    </w:p>
    <w:p>
      <w:pPr>
        <w:pStyle w:val="Heading2"/>
        <w:spacing w:after="120" w:before="240"/>
      </w:pPr>
      <w:r>
        <w:t xml:space="preserve">7.1 Compliance Status by Entity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600"/>
        <w:gridCol w:w="3600"/>
        <w:gridCol w:w="1300"/>
      </w:tblGrid>
      <w:tr>
        <w:trPr>
          <w:tblHeader/>
        </w:trPr>
        <w:tc>
          <w:tcPr>
            <w:tcW w:type="dxa" w:w="1400"/>
            <w:shd w:fill="D9D9D9" w:val="clear"/>
            <w:tcMar>
              <w:top w:type="dxa" w:w="60"/>
              <w:left w:type="dxa" w:w="100"/>
              <w:bottom w:type="dxa" w:w="60"/>
              <w:right w:type="dxa" w:w="100"/>
            </w:tcMar>
            <w:vAlign w:val="center"/>
          </w:tcPr>
          <w:p>
            <w:pPr>
              <w:jc w:val="left"/>
            </w:pPr>
            <w:r>
              <w:rPr>
                <w:b/>
                <w:bCs/>
                <w:sz w:val="19"/>
                <w:szCs w:val="19"/>
              </w:rPr>
              <w:t xml:space="preserve">Entity</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EPR Reg. No.</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Status</w:t>
            </w:r>
          </w:p>
        </w:tc>
        <w:tc>
          <w:tcPr>
            <w:tcW w:type="dxa" w:w="3600"/>
            <w:shd w:fill="D9D9D9" w:val="clear"/>
            <w:tcMar>
              <w:top w:type="dxa" w:w="60"/>
              <w:left w:type="dxa" w:w="100"/>
              <w:bottom w:type="dxa" w:w="60"/>
              <w:right w:type="dxa" w:w="100"/>
            </w:tcMar>
            <w:vAlign w:val="center"/>
          </w:tcPr>
          <w:p>
            <w:pPr>
              <w:jc w:val="left"/>
            </w:pPr>
            <w:r>
              <w:rPr>
                <w:b/>
                <w:bCs/>
                <w:sz w:val="19"/>
                <w:szCs w:val="19"/>
              </w:rPr>
              <w:t xml:space="preserve">Inspection / Penalty Status</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Remarks</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Entity A</w:t>
            </w:r>
          </w:p>
        </w:tc>
        <w:tc>
          <w:tcPr>
            <w:tcW w:type="dxa" w:w="1500"/>
            <w:tcMar>
              <w:top w:type="dxa" w:w="60"/>
              <w:left w:type="dxa" w:w="100"/>
              <w:bottom w:type="dxa" w:w="60"/>
              <w:right w:type="dxa" w:w="100"/>
            </w:tcMar>
            <w:vAlign w:val="center"/>
          </w:tcPr>
          <w:p>
            <w:pPr>
              <w:jc w:val="center"/>
            </w:pPr>
            <w:r>
              <w:rPr>
                <w:b w:val="false"/>
                <w:bCs w:val="false"/>
                <w:sz w:val="19"/>
                <w:szCs w:val="19"/>
              </w:rPr>
              <w:t xml:space="preserve">EPR/SK/001</w:t>
            </w:r>
          </w:p>
        </w:tc>
        <w:tc>
          <w:tcPr>
            <w:tcW w:type="dxa" w:w="1600"/>
            <w:tcMar>
              <w:top w:type="dxa" w:w="60"/>
              <w:left w:type="dxa" w:w="100"/>
              <w:bottom w:type="dxa" w:w="60"/>
              <w:right w:type="dxa" w:w="100"/>
            </w:tcMar>
            <w:vAlign w:val="center"/>
          </w:tcPr>
          <w:p>
            <w:pPr>
              <w:jc w:val="center"/>
            </w:pPr>
            <w:r>
              <w:rPr>
                <w:b w:val="false"/>
                <w:bCs w:val="false"/>
                <w:sz w:val="19"/>
                <w:szCs w:val="19"/>
              </w:rPr>
              <w:t xml:space="preserve">Compliant</w:t>
            </w:r>
          </w:p>
        </w:tc>
        <w:tc>
          <w:tcPr>
            <w:tcW w:type="dxa" w:w="3600"/>
            <w:tcMar>
              <w:top w:type="dxa" w:w="60"/>
              <w:left w:type="dxa" w:w="100"/>
              <w:bottom w:type="dxa" w:w="60"/>
              <w:right w:type="dxa" w:w="100"/>
            </w:tcMar>
            <w:vAlign w:val="center"/>
          </w:tcPr>
          <w:p>
            <w:pPr>
              <w:jc w:val="center"/>
            </w:pPr>
            <w:r>
              <w:rPr>
                <w:b w:val="false"/>
                <w:bCs w:val="false"/>
                <w:sz w:val="19"/>
                <w:szCs w:val="19"/>
              </w:rPr>
              <w:t xml:space="preserve">Planned: Yes / Conducted: Yes / Penalty Issued: No / Penalty Resolved: Yes*</w:t>
            </w:r>
          </w:p>
        </w:tc>
        <w:tc>
          <w:tcPr>
            <w:tcW w:type="dxa" w:w="1300"/>
            <w:tcMar>
              <w:top w:type="dxa" w:w="60"/>
              <w:left w:type="dxa" w:w="100"/>
              <w:bottom w:type="dxa" w:w="60"/>
              <w:right w:type="dxa" w:w="100"/>
            </w:tcMar>
            <w:vAlign w:val="center"/>
          </w:tcPr>
          <w:p>
            <w:pPr>
              <w:jc w:val="center"/>
            </w:pPr>
            <w:r>
              <w:rPr>
                <w:b w:val="false"/>
                <w:bCs w:val="false"/>
                <w:sz w:val="19"/>
                <w:szCs w:val="19"/>
              </w:rPr>
              <w:t xml:space="preserve">—</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Entity B</w:t>
            </w:r>
          </w:p>
        </w:tc>
        <w:tc>
          <w:tcPr>
            <w:tcW w:type="dxa" w:w="1500"/>
            <w:tcMar>
              <w:top w:type="dxa" w:w="60"/>
              <w:left w:type="dxa" w:w="100"/>
              <w:bottom w:type="dxa" w:w="60"/>
              <w:right w:type="dxa" w:w="100"/>
            </w:tcMar>
            <w:vAlign w:val="center"/>
          </w:tcPr>
          <w:p>
            <w:pPr>
              <w:jc w:val="center"/>
            </w:pPr>
            <w:r>
              <w:rPr>
                <w:b w:val="false"/>
                <w:bCs w:val="false"/>
                <w:sz w:val="19"/>
                <w:szCs w:val="19"/>
              </w:rPr>
              <w:t xml:space="preserve">EPR/SK/002</w:t>
            </w:r>
          </w:p>
        </w:tc>
        <w:tc>
          <w:tcPr>
            <w:tcW w:type="dxa" w:w="1600"/>
            <w:tcMar>
              <w:top w:type="dxa" w:w="60"/>
              <w:left w:type="dxa" w:w="100"/>
              <w:bottom w:type="dxa" w:w="60"/>
              <w:right w:type="dxa" w:w="100"/>
            </w:tcMar>
            <w:vAlign w:val="center"/>
          </w:tcPr>
          <w:p>
            <w:pPr>
              <w:jc w:val="center"/>
            </w:pPr>
            <w:r>
              <w:rPr>
                <w:b w:val="false"/>
                <w:bCs w:val="false"/>
                <w:sz w:val="19"/>
                <w:szCs w:val="19"/>
              </w:rPr>
              <w:t xml:space="preserve">Non-Compliant</w:t>
            </w:r>
          </w:p>
        </w:tc>
        <w:tc>
          <w:tcPr>
            <w:tcW w:type="dxa" w:w="3600"/>
            <w:tcMar>
              <w:top w:type="dxa" w:w="60"/>
              <w:left w:type="dxa" w:w="100"/>
              <w:bottom w:type="dxa" w:w="60"/>
              <w:right w:type="dxa" w:w="100"/>
            </w:tcMar>
            <w:vAlign w:val="center"/>
          </w:tcPr>
          <w:p>
            <w:pPr>
              <w:jc w:val="center"/>
            </w:pPr>
            <w:r>
              <w:rPr>
                <w:b w:val="false"/>
                <w:bCs w:val="false"/>
                <w:sz w:val="19"/>
                <w:szCs w:val="19"/>
              </w:rPr>
              <w:t xml:space="preserve">Planned: Yes / Conducted: No / Penalty Issued: Yes / Penalty Resolved: No</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Notice served</w:t>
            </w:r>
          </w:p>
        </w:tc>
      </w:tr>
    </w:tbl>
    <w:p>
      <w:pPr>
        <w:spacing w:after="160"/>
      </w:pPr>
      <w:r>
        <w:t xml:space="preserve">Entity A's record shows "Penalty Resolved = Yes" while its "Penalty / Show-Cause Issued" field is recorded as "No" — i.e. a penalty is marked resolved despite no penalty having been issued to this entity. This internal inconsistency should be corrected at source before the next submission. The single genuine issued-and-unresolved penalty in the state is against Entity B (Non-Compliant, notice served, inspection not yet conducted), which is the basis for the 0.0%-of-issued penalties-resolved figure above.</w:t>
      </w:r>
    </w:p>
    <w:p>
      <w:r>
        <w:br w:type="page"/>
      </w:r>
    </w:p>
    <w:p>
      <w:pPr>
        <w:pStyle w:val="Heading1"/>
        <w:spacing w:after="150" w:before="300"/>
      </w:pPr>
      <w:r>
        <w:t xml:space="preserve">8. Informal Sector Integration</w:t>
      </w:r>
    </w:p>
    <w:p>
      <w:pPr>
        <w:spacing w:after="160"/>
      </w:pPr>
      <w:r>
        <w:t xml:space="preserve">Source: 5_Informal_Sector_Hotspots sheet.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100"/>
        <w:gridCol w:w="1600"/>
        <w:gridCol w:w="1400"/>
        <w:gridCol w:w="1500"/>
      </w:tblGrid>
      <w:tr>
        <w:trPr>
          <w:tblHeader/>
        </w:trPr>
        <w:tc>
          <w:tcPr>
            <w:tcW w:type="dxa" w:w="2600"/>
            <w:shd w:fill="D9D9D9" w:val="clear"/>
            <w:tcMar>
              <w:top w:type="dxa" w:w="60"/>
              <w:left w:type="dxa" w:w="100"/>
              <w:bottom w:type="dxa" w:w="60"/>
              <w:right w:type="dxa" w:w="100"/>
            </w:tcMar>
            <w:vAlign w:val="center"/>
          </w:tcPr>
          <w:p>
            <w:pPr>
              <w:jc w:val="left"/>
            </w:pPr>
            <w:r>
              <w:rPr>
                <w:b/>
                <w:bCs/>
                <w:sz w:val="19"/>
                <w:szCs w:val="19"/>
              </w:rPr>
              <w:t xml:space="preserve">Hotspot / Cluster</w:t>
            </w:r>
          </w:p>
        </w:tc>
        <w:tc>
          <w:tcPr>
            <w:tcW w:type="dxa" w:w="9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900"/>
            <w:shd w:fill="D9D9D9" w:val="clear"/>
            <w:tcMar>
              <w:top w:type="dxa" w:w="60"/>
              <w:left w:type="dxa" w:w="100"/>
              <w:bottom w:type="dxa" w:w="60"/>
              <w:right w:type="dxa" w:w="100"/>
            </w:tcMar>
            <w:vAlign w:val="center"/>
          </w:tcPr>
          <w:p>
            <w:pPr>
              <w:jc w:val="left"/>
            </w:pPr>
            <w:r>
              <w:rPr>
                <w:b/>
                <w:bCs/>
                <w:sz w:val="19"/>
                <w:szCs w:val="19"/>
              </w:rPr>
              <w:t xml:space="preserve">Status</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Est. Workers</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Workers Registered/Trained</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Formalization Action</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Remarks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None Identified (Sikkim Anomaly)</w:t>
            </w:r>
          </w:p>
        </w:tc>
        <w:tc>
          <w:tcPr>
            <w:tcW w:type="dxa" w:w="900"/>
            <w:tcMar>
              <w:top w:type="dxa" w:w="60"/>
              <w:left w:type="dxa" w:w="100"/>
              <w:bottom w:type="dxa" w:w="60"/>
              <w:right w:type="dxa" w:w="100"/>
            </w:tcMar>
            <w:vAlign w:val="center"/>
          </w:tcPr>
          <w:p>
            <w:pPr>
              <w:jc w:val="center"/>
            </w:pPr>
            <w:r>
              <w:rPr>
                <w:b w:val="false"/>
                <w:bCs w:val="false"/>
                <w:sz w:val="19"/>
                <w:szCs w:val="19"/>
              </w:rPr>
              <w:t xml:space="preserve">All</w:t>
            </w:r>
          </w:p>
        </w:tc>
        <w:tc>
          <w:tcPr>
            <w:tcW w:type="dxa" w:w="900"/>
            <w:tcMar>
              <w:top w:type="dxa" w:w="60"/>
              <w:left w:type="dxa" w:w="100"/>
              <w:bottom w:type="dxa" w:w="60"/>
              <w:right w:type="dxa" w:w="100"/>
            </w:tcMar>
            <w:vAlign w:val="center"/>
          </w:tcPr>
          <w:p>
            <w:pPr>
              <w:jc w:val="center"/>
            </w:pPr>
            <w:r>
              <w:rPr>
                <w:b w:val="false"/>
                <w:bCs w:val="false"/>
                <w:sz w:val="19"/>
                <w:szCs w:val="19"/>
              </w:rPr>
              <w:t xml:space="preserve">N/A</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6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N/A</w:t>
            </w:r>
          </w:p>
        </w:tc>
        <w:tc>
          <w:tcPr>
            <w:tcW w:type="dxa" w:w="1500"/>
            <w:tcMar>
              <w:top w:type="dxa" w:w="60"/>
              <w:left w:type="dxa" w:w="100"/>
              <w:bottom w:type="dxa" w:w="60"/>
              <w:right w:type="dxa" w:w="100"/>
            </w:tcMar>
            <w:vAlign w:val="center"/>
          </w:tcPr>
          <w:p>
            <w:pPr>
              <w:jc w:val="center"/>
            </w:pPr>
            <w:r>
              <w:rPr>
                <w:b w:val="false"/>
                <w:bCs w:val="false"/>
                <w:sz w:val="19"/>
                <w:szCs w:val="19"/>
              </w:rPr>
              <w:t xml:space="preserve">Zero informal workers observed</w:t>
            </w:r>
          </w:p>
        </w:tc>
      </w:tr>
    </w:tbl>
    <w:p>
      <w:pPr>
        <w:pStyle w:val="Heading2"/>
        <w:spacing w:after="120" w:before="240"/>
      </w:pPr>
      <w:r>
        <w:t xml:space="preserve">8.1 Analysis</w:t>
      </w:r>
    </w:p>
    <w:p>
      <w:pPr>
        <w:spacing w:after="160"/>
      </w:pPr>
      <w:r>
        <w:t xml:space="preserve">The workbook records zero identified informal e-waste clusters and zero estimated informal workers statewide, in a single placeholder row explicitly labelled "Sikkim Anomaly". No formalisation actions, remediation plans, or worker-training records are therefore applicable.</w:t>
      </w:r>
    </w:p>
    <w:p>
      <w:pPr>
        <w:spacing w:after="160"/>
      </w:pPr>
      <w:r>
        <w:t xml:space="preserve">A statewide reading of zero informal e-waste hotspots is plausible given Sikkim's small population, low industrial base, and predominantly rural/hill-town geography, and may genuinely differ from larger, more urbanised states. However, the single-row placeholder entry (rather than a documented set of surveyed sites, each explicitly ruled out, as seen in other states' hotspot sheets) does not by itself demonstrate that a systematic field survey or informal-sector mapping exercise was carried out. SSPCB should confirm whether this reflects (a) a completed statewide informal-sector survey that found no clusters, or (b) the absence of such a survey to date. Category 5's 100% achievement score in Section 11 is scored vacuously (0 identified / 0 required to formalise) and should be treated as unverified until this is confirmed.</w:t>
      </w:r>
    </w:p>
    <w:p>
      <w:r>
        <w:br w:type="page"/>
      </w:r>
    </w:p>
    <w:p>
      <w:pPr>
        <w:pStyle w:val="Heading1"/>
        <w:spacing w:after="150" w:before="300"/>
      </w:pPr>
      <w:r>
        <w:t xml:space="preserve">9. Environmental &amp; Health Safeguards</w:t>
      </w:r>
    </w:p>
    <w:p>
      <w:pPr>
        <w:spacing w:after="160"/>
      </w:pPr>
      <w:r>
        <w:t xml:space="preserve">Source: 6_Env_Health_Monitoring sheet.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00"/>
        <w:gridCol w:w="1300"/>
        <w:gridCol w:w="1300"/>
        <w:gridCol w:w="1200"/>
        <w:gridCol w:w="1300"/>
      </w:tblGrid>
      <w:tr>
        <w:trPr>
          <w:tblHeader/>
        </w:trPr>
        <w:tc>
          <w:tcPr>
            <w:tcW w:type="dxa" w:w="2300"/>
            <w:shd w:fill="D9D9D9" w:val="clear"/>
            <w:tcMar>
              <w:top w:type="dxa" w:w="60"/>
              <w:left w:type="dxa" w:w="100"/>
              <w:bottom w:type="dxa" w:w="60"/>
              <w:right w:type="dxa" w:w="100"/>
            </w:tcMar>
            <w:vAlign w:val="center"/>
          </w:tcPr>
          <w:p>
            <w:pPr>
              <w:jc w:val="left"/>
            </w:pPr>
            <w:r>
              <w:rPr>
                <w:b/>
                <w:bCs/>
                <w:sz w:val="19"/>
                <w:szCs w:val="19"/>
              </w:rPr>
              <w:t xml:space="preserve">Site / Station</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Monitoring Type</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Date</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Result</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Health Camp</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Beneficiaries</w:t>
            </w:r>
          </w:p>
        </w:tc>
      </w:tr>
      <w:tr>
        <w:tc>
          <w:tcPr>
            <w:tcW w:type="dxa" w:w="2300"/>
            <w:tcMar>
              <w:top w:type="dxa" w:w="60"/>
              <w:left w:type="dxa" w:w="100"/>
              <w:bottom w:type="dxa" w:w="60"/>
              <w:right w:type="dxa" w:w="100"/>
            </w:tcMar>
            <w:vAlign w:val="center"/>
          </w:tcPr>
          <w:p>
            <w:pPr>
              <w:jc w:val="left"/>
            </w:pPr>
            <w:r>
              <w:rPr>
                <w:b w:val="false"/>
                <w:bCs w:val="false"/>
                <w:sz w:val="19"/>
                <w:szCs w:val="19"/>
              </w:rPr>
              <w:t xml:space="preserve">NAMP-SK-01 Deorali</w:t>
            </w:r>
          </w:p>
        </w:tc>
        <w:tc>
          <w:tcPr>
            <w:tcW w:type="dxa" w:w="1300"/>
            <w:tcMar>
              <w:top w:type="dxa" w:w="60"/>
              <w:left w:type="dxa" w:w="100"/>
              <w:bottom w:type="dxa" w:w="60"/>
              <w:right w:type="dxa" w:w="100"/>
            </w:tcMar>
            <w:vAlign w:val="center"/>
          </w:tcPr>
          <w:p>
            <w:pPr>
              <w:jc w:val="center"/>
            </w:pPr>
            <w:r>
              <w:rPr>
                <w:b w:val="false"/>
                <w:bCs w:val="false"/>
                <w:sz w:val="19"/>
                <w:szCs w:val="19"/>
              </w:rPr>
              <w:t xml:space="preserve">Gangtok</w:t>
            </w:r>
          </w:p>
        </w:tc>
        <w:tc>
          <w:tcPr>
            <w:tcW w:type="dxa" w:w="1500"/>
            <w:tcMar>
              <w:top w:type="dxa" w:w="60"/>
              <w:left w:type="dxa" w:w="100"/>
              <w:bottom w:type="dxa" w:w="60"/>
              <w:right w:type="dxa" w:w="100"/>
            </w:tcMar>
            <w:vAlign w:val="center"/>
          </w:tcPr>
          <w:p>
            <w:pPr>
              <w:jc w:val="center"/>
            </w:pPr>
            <w:r>
              <w:rPr>
                <w:b w:val="false"/>
                <w:bCs w:val="false"/>
                <w:sz w:val="19"/>
                <w:szCs w:val="19"/>
              </w:rPr>
              <w:t xml:space="preserve">Air Quality</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10-06-2026</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Normal</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No</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w:t>
            </w:r>
          </w:p>
        </w:tc>
      </w:tr>
      <w:tr>
        <w:tc>
          <w:tcPr>
            <w:tcW w:type="dxa" w:w="2300"/>
            <w:tcMar>
              <w:top w:type="dxa" w:w="60"/>
              <w:left w:type="dxa" w:w="100"/>
              <w:bottom w:type="dxa" w:w="60"/>
              <w:right w:type="dxa" w:w="100"/>
            </w:tcMar>
            <w:vAlign w:val="center"/>
          </w:tcPr>
          <w:p>
            <w:pPr>
              <w:jc w:val="left"/>
            </w:pPr>
            <w:r>
              <w:rPr>
                <w:b w:val="false"/>
                <w:bCs w:val="false"/>
                <w:sz w:val="19"/>
                <w:szCs w:val="19"/>
              </w:rPr>
              <w:t xml:space="preserve">NWMP-SK-01 Teesta</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Namchi</w:t>
            </w:r>
          </w:p>
        </w:tc>
        <w:tc>
          <w:tcPr>
            <w:tcW w:type="dxa" w:w="1500"/>
            <w:tcMar>
              <w:top w:type="dxa" w:w="60"/>
              <w:left w:type="dxa" w:w="100"/>
              <w:bottom w:type="dxa" w:w="60"/>
              <w:right w:type="dxa" w:w="100"/>
            </w:tcMar>
            <w:vAlign w:val="center"/>
          </w:tcPr>
          <w:p>
            <w:pPr>
              <w:jc w:val="center"/>
            </w:pPr>
            <w:r>
              <w:rPr>
                <w:b w:val="false"/>
                <w:bCs w:val="false"/>
                <w:sz w:val="19"/>
                <w:szCs w:val="19"/>
              </w:rPr>
              <w:t xml:space="preserve">Water Quality</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15-06-2026</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Normal</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No</w:t>
            </w:r>
          </w:p>
        </w:tc>
        <w:tc>
          <w:tcPr>
            <w:tcW w:type="dxa" w:w="1300"/>
            <w:tcMar>
              <w:top w:type="dxa" w:w="60"/>
              <w:left w:type="dxa" w:w="100"/>
              <w:bottom w:type="dxa" w:w="60"/>
              <w:right w:type="dxa" w:w="100"/>
            </w:tcMar>
            <w:vAlign w:val="center"/>
          </w:tcPr>
          <w:p>
            <w:pPr>
              <w:jc w:val="center"/>
            </w:pPr>
            <w:r>
              <w:rPr>
                <w:b w:val="false"/>
                <w:bCs w:val="false"/>
                <w:sz w:val="19"/>
                <w:szCs w:val="19"/>
              </w:rPr>
              <w:t xml:space="preserve">0</w:t>
            </w:r>
          </w:p>
        </w:tc>
      </w:tr>
    </w:tbl>
    <w:p>
      <w:pPr>
        <w:pStyle w:val="Heading2"/>
        <w:spacing w:after="120" w:before="240"/>
      </w:pPr>
      <w:r>
        <w:t xml:space="preserve">9.1 Analysis</w:t>
      </w:r>
    </w:p>
    <w:p>
      <w:pPr>
        <w:spacing w:after="160"/>
      </w:pPr>
      <w:r>
        <w:t xml:space="preserve">2 distinct environmental monitoring visits are recorded for the period, both returning "Normal" results. Neither visit was accompanied by a health camp; total health camps conducted statewide is 0, and total beneficiaries screened is 0.</w:t>
      </w:r>
    </w:p>
    <w:p>
      <w:pPr>
        <w:spacing w:after="160"/>
      </w:pPr>
      <w:r>
        <w:t xml:space="preserve">The two recorded sites (NAMP-SK-01 Deorali and NWMP-SK-01 Teesta) are general National Air Monitoring Programme (NAMP) / National Water Monitoring Programme (NWMP) ambient-quality stations, not monitoring visits tied to a specific identified e-waste informal hotspot — consistent with Section 8 recording zero such hotspots. Zero e-waste-specific health camps and zero beneficiaries were screened statewide during the period.</w:t>
      </w:r>
    </w:p>
    <w:p>
      <w:r>
        <w:br w:type="page"/>
      </w:r>
    </w:p>
    <w:p>
      <w:pPr>
        <w:pStyle w:val="Heading1"/>
        <w:spacing w:after="150" w:before="300"/>
      </w:pPr>
      <w:r>
        <w:t xml:space="preserve">10. Awareness &amp; Outreach</w:t>
      </w:r>
    </w:p>
    <w:p>
      <w:pPr>
        <w:spacing w:after="160"/>
      </w:pPr>
      <w:r>
        <w:t xml:space="preserve">Source: 7_Awareness_Programs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600"/>
        <w:gridCol w:w="1600"/>
        <w:gridCol w:w="1300"/>
      </w:tblGrid>
      <w:tr>
        <w:trPr>
          <w:tblHeader/>
        </w:trPr>
        <w:tc>
          <w:tcPr>
            <w:tcW w:type="dxa" w:w="2400"/>
            <w:shd w:fill="D9D9D9" w:val="clear"/>
            <w:tcMar>
              <w:top w:type="dxa" w:w="60"/>
              <w:left w:type="dxa" w:w="100"/>
              <w:bottom w:type="dxa" w:w="60"/>
              <w:right w:type="dxa" w:w="100"/>
            </w:tcMar>
            <w:vAlign w:val="center"/>
          </w:tcPr>
          <w:p>
            <w:pPr>
              <w:jc w:val="left"/>
            </w:pPr>
            <w:r>
              <w:rPr>
                <w:b/>
                <w:bCs/>
                <w:sz w:val="19"/>
                <w:szCs w:val="19"/>
              </w:rPr>
              <w:t xml:space="preserve">Program Name</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Date</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Type</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Target Audience</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Participants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Clean Sikkim E-Waste Free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Gangtok</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12-05-2026</w:t>
            </w:r>
          </w:p>
        </w:tc>
        <w:tc>
          <w:tcPr>
            <w:tcW w:type="dxa" w:w="1600"/>
            <w:tcMar>
              <w:top w:type="dxa" w:w="60"/>
              <w:left w:type="dxa" w:w="100"/>
              <w:bottom w:type="dxa" w:w="60"/>
              <w:right w:type="dxa" w:w="100"/>
            </w:tcMar>
            <w:vAlign w:val="center"/>
          </w:tcPr>
          <w:p>
            <w:pPr>
              <w:jc w:val="center"/>
            </w:pPr>
            <w:r>
              <w:rPr>
                <w:b w:val="false"/>
                <w:bCs w:val="false"/>
                <w:sz w:val="19"/>
                <w:szCs w:val="19"/>
              </w:rPr>
              <w:t xml:space="preserve">Workshop</w:t>
            </w:r>
          </w:p>
        </w:tc>
        <w:tc>
          <w:tcPr>
            <w:tcW w:type="dxa" w:w="1600"/>
            <w:tcMar>
              <w:top w:type="dxa" w:w="60"/>
              <w:left w:type="dxa" w:w="100"/>
              <w:bottom w:type="dxa" w:w="60"/>
              <w:right w:type="dxa" w:w="100"/>
            </w:tcMar>
            <w:vAlign w:val="center"/>
          </w:tcPr>
          <w:p>
            <w:pPr>
              <w:jc w:val="center"/>
            </w:pPr>
            <w:r>
              <w:rPr>
                <w:b w:val="false"/>
                <w:bCs w:val="false"/>
                <w:sz w:val="19"/>
                <w:szCs w:val="19"/>
              </w:rPr>
              <w:t xml:space="preserve">General Public</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5,000</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School E-Waste Drive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Namchi</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20-05-2026</w:t>
            </w:r>
          </w:p>
        </w:tc>
        <w:tc>
          <w:tcPr>
            <w:tcW w:type="dxa" w:w="1600"/>
            <w:tcMar>
              <w:top w:type="dxa" w:w="60"/>
              <w:left w:type="dxa" w:w="100"/>
              <w:bottom w:type="dxa" w:w="60"/>
              <w:right w:type="dxa" w:w="100"/>
            </w:tcMar>
            <w:vAlign w:val="center"/>
          </w:tcPr>
          <w:p>
            <w:pPr>
              <w:jc w:val="center"/>
            </w:pPr>
            <w:r>
              <w:rPr>
                <w:b w:val="false"/>
                <w:bCs w:val="false"/>
                <w:sz w:val="19"/>
                <w:szCs w:val="19"/>
              </w:rPr>
              <w:t xml:space="preserve">Collection Drive</w:t>
            </w:r>
          </w:p>
        </w:tc>
        <w:tc>
          <w:tcPr>
            <w:tcW w:type="dxa" w:w="1600"/>
            <w:tcMar>
              <w:top w:type="dxa" w:w="60"/>
              <w:left w:type="dxa" w:w="100"/>
              <w:bottom w:type="dxa" w:w="60"/>
              <w:right w:type="dxa" w:w="100"/>
            </w:tcMar>
            <w:vAlign w:val="center"/>
          </w:tcPr>
          <w:p>
            <w:pPr>
              <w:jc w:val="center"/>
            </w:pPr>
            <w:r>
              <w:rPr>
                <w:b w:val="false"/>
                <w:bCs w:val="false"/>
                <w:sz w:val="19"/>
                <w:szCs w:val="19"/>
              </w:rPr>
              <w:t xml:space="preserve">Students</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2,400</w:t>
            </w:r>
          </w:p>
        </w:tc>
      </w:tr>
    </w:tbl>
    <w:p>
      <w:pPr>
        <w:spacing w:after="160"/>
      </w:pPr>
      <w:r>
        <w:t xml:space="preserve">A total of </w:t>
      </w:r>
      <w:r>
        <w:rPr>
          <w:b/>
          <w:bCs/>
        </w:rPr>
        <w:t xml:space="preserve">2 awareness/outreach programs</w:t>
      </w:r>
      <w:r>
        <w:t xml:space="preserve"> were conducted statewide during the period, against the benchmark target of 20 programs/year set on the "0_Scorecard" sheet – an achievement of </w:t>
      </w:r>
      <w:r>
        <w:rPr>
          <w:b/>
          <w:bCs/>
        </w:rPr>
        <w:t xml:space="preserve">10.0% of target</w:t>
      </w:r>
      <w:r>
        <w:t xml:space="preserve">. Of these, 1 was a school-based collection drive. A cumulative </w:t>
      </w:r>
      <w:r>
        <w:rPr>
          <w:b/>
          <w:bCs/>
        </w:rPr>
        <w:t xml:space="preserve">7,400 participants</w:t>
      </w:r>
      <w:r>
        <w:t xml:space="preserve"> were reached statewide across both programs, driven predominantly by the single large-format "Clean Sikkim E-Waste Free" workshop in Gangtok (5,000 participants).</w:t>
      </w:r>
    </w:p>
    <w:p>
      <w:r>
        <w:br w:type="page"/>
      </w:r>
    </w:p>
    <w:p>
      <w:pPr>
        <w:pStyle w:val="Heading1"/>
        <w:spacing w:after="150" w:before="300"/>
      </w:pPr>
      <w:r>
        <w:t xml:space="preserve">11. Consolidated Scorecard</w:t>
      </w:r>
    </w:p>
    <w:p>
      <w:pPr>
        <w:spacing w:after="160"/>
      </w:pPr>
      <w:r>
        <w:t xml:space="preserve">Reproduced/recomputed from the 0_Scorecard sheet per the methodology in Section 3.</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2200"/>
        <w:gridCol w:w="2900"/>
        <w:gridCol w:w="1500"/>
        <w:gridCol w:w="1400"/>
      </w:tblGrid>
      <w:tr>
        <w:trPr>
          <w:tblHeader/>
        </w:trPr>
        <w:tc>
          <w:tcPr>
            <w:tcW w:type="dxa" w:w="500"/>
            <w:shd w:fill="D9D9D9" w:val="clear"/>
            <w:tcMar>
              <w:top w:type="dxa" w:w="60"/>
              <w:left w:type="dxa" w:w="100"/>
              <w:bottom w:type="dxa" w:w="60"/>
              <w:right w:type="dxa" w:w="100"/>
            </w:tcMar>
            <w:vAlign w:val="center"/>
          </w:tcPr>
          <w:p>
            <w:pPr>
              <w:jc w:val="left"/>
            </w:pPr>
            <w:r>
              <w:rPr>
                <w:b/>
                <w:bCs/>
                <w:sz w:val="19"/>
                <w:szCs w:val="19"/>
              </w:rPr>
              <w:t xml:space="preserve">#</w:t>
            </w:r>
          </w:p>
        </w:tc>
        <w:tc>
          <w:tcPr>
            <w:tcW w:type="dxa" w:w="2600"/>
            <w:shd w:fill="D9D9D9" w:val="clear"/>
            <w:tcMar>
              <w:top w:type="dxa" w:w="60"/>
              <w:left w:type="dxa" w:w="100"/>
              <w:bottom w:type="dxa" w:w="60"/>
              <w:right w:type="dxa" w:w="100"/>
            </w:tcMar>
            <w:vAlign w:val="center"/>
          </w:tcPr>
          <w:p>
            <w:pPr>
              <w:jc w:val="left"/>
            </w:pPr>
            <w:r>
              <w:rPr>
                <w:b/>
                <w:bCs/>
                <w:sz w:val="19"/>
                <w:szCs w:val="19"/>
              </w:rPr>
              <w:t xml:space="preserve">Category</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Weight</w:t>
            </w:r>
          </w:p>
        </w:tc>
        <w:tc>
          <w:tcPr>
            <w:tcW w:type="dxa" w:w="2200"/>
            <w:shd w:fill="D9D9D9" w:val="clear"/>
            <w:tcMar>
              <w:top w:type="dxa" w:w="60"/>
              <w:left w:type="dxa" w:w="100"/>
              <w:bottom w:type="dxa" w:w="60"/>
              <w:right w:type="dxa" w:w="100"/>
            </w:tcMar>
            <w:vAlign w:val="center"/>
          </w:tcPr>
          <w:p>
            <w:pPr>
              <w:jc w:val="left"/>
            </w:pPr>
            <w:r>
              <w:rPr>
                <w:b/>
                <w:bCs/>
                <w:sz w:val="19"/>
                <w:szCs w:val="19"/>
              </w:rPr>
              <w:t xml:space="preserve">Benchmark / Target</w:t>
            </w:r>
          </w:p>
        </w:tc>
        <w:tc>
          <w:tcPr>
            <w:tcW w:type="dxa" w:w="2900"/>
            <w:shd w:fill="D9D9D9" w:val="clear"/>
            <w:tcMar>
              <w:top w:type="dxa" w:w="60"/>
              <w:left w:type="dxa" w:w="100"/>
              <w:bottom w:type="dxa" w:w="60"/>
              <w:right w:type="dxa" w:w="100"/>
            </w:tcMar>
            <w:vAlign w:val="center"/>
          </w:tcPr>
          <w:p>
            <w:pPr>
              <w:jc w:val="left"/>
            </w:pPr>
            <w:r>
              <w:rPr>
                <w:b/>
                <w:bCs/>
                <w:sz w:val="19"/>
                <w:szCs w:val="19"/>
              </w:rPr>
              <w:t xml:space="preserve">Achieved Value</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Achievement %</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Score Earned</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1</w:t>
            </w:r>
          </w:p>
        </w:tc>
        <w:tc>
          <w:tcPr>
            <w:tcW w:type="dxa" w:w="2600"/>
            <w:tcMar>
              <w:top w:type="dxa" w:w="60"/>
              <w:left w:type="dxa" w:w="100"/>
              <w:bottom w:type="dxa" w:w="60"/>
              <w:right w:type="dxa" w:w="100"/>
            </w:tcMar>
            <w:vAlign w:val="center"/>
          </w:tcPr>
          <w:p>
            <w:pPr>
              <w:jc w:val="center"/>
            </w:pPr>
            <w:r>
              <w:rPr>
                <w:b w:val="false"/>
                <w:bCs w:val="false"/>
                <w:sz w:val="19"/>
                <w:szCs w:val="19"/>
              </w:rPr>
              <w:t xml:space="preserve">Generation &amp; Inventory</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15%</w:t>
            </w:r>
          </w:p>
        </w:tc>
        <w:tc>
          <w:tcPr>
            <w:tcW w:type="dxa" w:w="2200"/>
            <w:tcMar>
              <w:top w:type="dxa" w:w="60"/>
              <w:left w:type="dxa" w:w="100"/>
              <w:bottom w:type="dxa" w:w="60"/>
              <w:right w:type="dxa" w:w="100"/>
            </w:tcMar>
            <w:vAlign w:val="center"/>
          </w:tcPr>
          <w:p>
            <w:pPr>
              <w:jc w:val="center"/>
            </w:pPr>
            <w:r>
              <w:rPr>
                <w:b w:val="false"/>
                <w:bCs w:val="false"/>
                <w:sz w:val="19"/>
                <w:szCs w:val="19"/>
              </w:rPr>
              <w:t xml:space="preserve">5 (unit not specified in workbook)</w:t>
            </w:r>
          </w:p>
        </w:tc>
        <w:tc>
          <w:tcPr>
            <w:tcW w:type="dxa" w:w="2900"/>
            <w:tcMar>
              <w:top w:type="dxa" w:w="60"/>
              <w:left w:type="dxa" w:w="100"/>
              <w:bottom w:type="dxa" w:w="60"/>
              <w:right w:type="dxa" w:w="100"/>
            </w:tcMar>
            <w:vAlign w:val="center"/>
          </w:tcPr>
          <w:p>
            <w:pPr>
              <w:jc w:val="center"/>
            </w:pPr>
            <w:r>
              <w:rPr>
                <w:b w:val="false"/>
                <w:bCs w:val="false"/>
                <w:sz w:val="19"/>
                <w:szCs w:val="19"/>
              </w:rPr>
              <w:t xml:space="preserve">6/6 districts reporting complete (100%)</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15.00</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2</w:t>
            </w:r>
          </w:p>
        </w:tc>
        <w:tc>
          <w:tcPr>
            <w:tcW w:type="dxa" w:w="2600"/>
            <w:tcMar>
              <w:top w:type="dxa" w:w="60"/>
              <w:left w:type="dxa" w:w="100"/>
              <w:bottom w:type="dxa" w:w="60"/>
              <w:right w:type="dxa" w:w="100"/>
            </w:tcMar>
            <w:vAlign w:val="center"/>
          </w:tcPr>
          <w:p>
            <w:pPr>
              <w:jc w:val="center"/>
            </w:pPr>
            <w:r>
              <w:rPr>
                <w:b w:val="false"/>
                <w:bCs w:val="false"/>
                <w:sz w:val="19"/>
                <w:szCs w:val="19"/>
              </w:rPr>
              <w:t xml:space="preserve">Collection Performance</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20%</w:t>
            </w:r>
          </w:p>
        </w:tc>
        <w:tc>
          <w:tcPr>
            <w:tcW w:type="dxa" w:w="2200"/>
            <w:tcMar>
              <w:top w:type="dxa" w:w="60"/>
              <w:left w:type="dxa" w:w="100"/>
              <w:bottom w:type="dxa" w:w="60"/>
              <w:right w:type="dxa" w:w="100"/>
            </w:tcMar>
            <w:vAlign w:val="center"/>
          </w:tcPr>
          <w:p>
            <w:pPr>
              <w:jc w:val="center"/>
            </w:pPr>
            <w:r>
              <w:rPr>
                <w:b w:val="false"/>
                <w:bCs w:val="false"/>
                <w:sz w:val="19"/>
                <w:szCs w:val="19"/>
              </w:rPr>
              <w:t xml:space="preserve">1 (i.e., 100% collection target)</w:t>
            </w:r>
          </w:p>
        </w:tc>
        <w:tc>
          <w:tcPr>
            <w:tcW w:type="dxa" w:w="2900"/>
            <w:tcMar>
              <w:top w:type="dxa" w:w="60"/>
              <w:left w:type="dxa" w:w="100"/>
              <w:bottom w:type="dxa" w:w="60"/>
              <w:right w:type="dxa" w:w="100"/>
            </w:tcMar>
            <w:vAlign w:val="center"/>
          </w:tcPr>
          <w:p>
            <w:pPr>
              <w:jc w:val="center"/>
            </w:pPr>
            <w:r>
              <w:rPr>
                <w:b w:val="false"/>
                <w:bCs w:val="false"/>
                <w:sz w:val="19"/>
                <w:szCs w:val="19"/>
              </w:rPr>
              <w:t xml:space="preserve">19.18% state collection rate</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19.18%</w:t>
            </w:r>
          </w:p>
        </w:tc>
        <w:tc>
          <w:tcPr>
            <w:tcW w:type="dxa" w:w="1400"/>
            <w:tcMar>
              <w:top w:type="dxa" w:w="60"/>
              <w:left w:type="dxa" w:w="100"/>
              <w:bottom w:type="dxa" w:w="60"/>
              <w:right w:type="dxa" w:w="100"/>
            </w:tcMar>
            <w:vAlign w:val="center"/>
          </w:tcPr>
          <w:p>
            <w:pPr>
              <w:jc w:val="center"/>
            </w:pPr>
            <w:r>
              <w:rPr>
                <w:b w:val="false"/>
                <w:bCs w:val="false"/>
                <w:sz w:val="19"/>
                <w:szCs w:val="19"/>
              </w:rPr>
              <w:t xml:space="preserve">3.84</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3</w:t>
            </w:r>
          </w:p>
        </w:tc>
        <w:tc>
          <w:tcPr>
            <w:tcW w:type="dxa" w:w="2600"/>
            <w:tcMar>
              <w:top w:type="dxa" w:w="60"/>
              <w:left w:type="dxa" w:w="100"/>
              <w:bottom w:type="dxa" w:w="60"/>
              <w:right w:type="dxa" w:w="100"/>
            </w:tcMar>
            <w:vAlign w:val="center"/>
          </w:tcPr>
          <w:p>
            <w:pPr>
              <w:jc w:val="center"/>
            </w:pPr>
            <w:r>
              <w:rPr>
                <w:b w:val="false"/>
                <w:bCs w:val="false"/>
                <w:sz w:val="19"/>
                <w:szCs w:val="19"/>
              </w:rPr>
              <w:t xml:space="preserve">Formal Recycling &amp; Treatment</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20%</w:t>
            </w:r>
          </w:p>
        </w:tc>
        <w:tc>
          <w:tcPr>
            <w:tcW w:type="dxa" w:w="2200"/>
            <w:tcMar>
              <w:top w:type="dxa" w:w="60"/>
              <w:left w:type="dxa" w:w="100"/>
              <w:bottom w:type="dxa" w:w="60"/>
              <w:right w:type="dxa" w:w="100"/>
            </w:tcMar>
            <w:vAlign w:val="center"/>
          </w:tcPr>
          <w:p>
            <w:pPr>
              <w:jc w:val="center"/>
            </w:pPr>
            <w:r>
              <w:rPr>
                <w:b w:val="false"/>
                <w:bCs w:val="false"/>
                <w:sz w:val="19"/>
                <w:szCs w:val="19"/>
              </w:rPr>
              <w:t xml:space="preserve">1 (i.e., 100% material recovery target)</w:t>
            </w:r>
          </w:p>
        </w:tc>
        <w:tc>
          <w:tcPr>
            <w:tcW w:type="dxa" w:w="2900"/>
            <w:tcMar>
              <w:top w:type="dxa" w:w="60"/>
              <w:left w:type="dxa" w:w="100"/>
              <w:bottom w:type="dxa" w:w="60"/>
              <w:right w:type="dxa" w:w="100"/>
            </w:tcMar>
            <w:vAlign w:val="center"/>
          </w:tcPr>
          <w:p>
            <w:pPr>
              <w:jc w:val="center"/>
            </w:pPr>
            <w:r>
              <w:rPr>
                <w:b w:val="false"/>
                <w:bCs w:val="false"/>
                <w:sz w:val="19"/>
                <w:szCs w:val="19"/>
              </w:rPr>
              <w:t xml:space="preserve">Recovery rate "N/A" – not computable from data supplied</w:t>
            </w:r>
          </w:p>
        </w:tc>
        <w:tc>
          <w:tcPr>
            <w:tcW w:type="dxa" w:w="15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0.00*</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4</w:t>
            </w:r>
          </w:p>
        </w:tc>
        <w:tc>
          <w:tcPr>
            <w:tcW w:type="dxa" w:w="2600"/>
            <w:tcMar>
              <w:top w:type="dxa" w:w="60"/>
              <w:left w:type="dxa" w:w="100"/>
              <w:bottom w:type="dxa" w:w="60"/>
              <w:right w:type="dxa" w:w="100"/>
            </w:tcMar>
            <w:vAlign w:val="center"/>
          </w:tcPr>
          <w:p>
            <w:pPr>
              <w:jc w:val="center"/>
            </w:pPr>
            <w:r>
              <w:rPr>
                <w:b w:val="false"/>
                <w:bCs w:val="false"/>
                <w:sz w:val="19"/>
                <w:szCs w:val="19"/>
              </w:rPr>
              <w:t xml:space="preserve">Regulatory Compliance</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15%</w:t>
            </w:r>
          </w:p>
        </w:tc>
        <w:tc>
          <w:tcPr>
            <w:tcW w:type="dxa" w:w="2200"/>
            <w:tcMar>
              <w:top w:type="dxa" w:w="60"/>
              <w:left w:type="dxa" w:w="100"/>
              <w:bottom w:type="dxa" w:w="60"/>
              <w:right w:type="dxa" w:w="100"/>
            </w:tcMar>
            <w:vAlign w:val="center"/>
          </w:tcPr>
          <w:p>
            <w:pPr>
              <w:jc w:val="center"/>
            </w:pPr>
            <w:r>
              <w:rPr>
                <w:b w:val="false"/>
                <w:bCs w:val="false"/>
                <w:sz w:val="19"/>
                <w:szCs w:val="19"/>
              </w:rPr>
              <w:t xml:space="preserve">1 (i.e., 100% compliance target)</w:t>
            </w:r>
          </w:p>
        </w:tc>
        <w:tc>
          <w:tcPr>
            <w:tcW w:type="dxa" w:w="2900"/>
            <w:tcMar>
              <w:top w:type="dxa" w:w="60"/>
              <w:left w:type="dxa" w:w="100"/>
              <w:bottom w:type="dxa" w:w="60"/>
              <w:right w:type="dxa" w:w="100"/>
            </w:tcMar>
            <w:vAlign w:val="center"/>
          </w:tcPr>
          <w:p>
            <w:pPr>
              <w:jc w:val="center"/>
            </w:pPr>
            <w:r>
              <w:rPr>
                <w:b w:val="false"/>
                <w:bCs w:val="false"/>
                <w:sz w:val="19"/>
                <w:szCs w:val="19"/>
              </w:rPr>
              <w:t xml:space="preserve">50.0% entities compliant</w:t>
            </w:r>
          </w:p>
        </w:tc>
        <w:tc>
          <w:tcPr>
            <w:tcW w:type="dxa" w:w="1500"/>
            <w:tcMar>
              <w:top w:type="dxa" w:w="60"/>
              <w:left w:type="dxa" w:w="100"/>
              <w:bottom w:type="dxa" w:w="60"/>
              <w:right w:type="dxa" w:w="100"/>
            </w:tcMar>
            <w:vAlign w:val="center"/>
          </w:tcPr>
          <w:p>
            <w:pPr>
              <w:jc w:val="center"/>
            </w:pPr>
            <w:r>
              <w:rPr>
                <w:b w:val="false"/>
                <w:bCs w:val="false"/>
                <w:sz w:val="19"/>
                <w:szCs w:val="19"/>
              </w:rPr>
              <w:t xml:space="preserve">50%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7.50</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5</w:t>
            </w:r>
          </w:p>
        </w:tc>
        <w:tc>
          <w:tcPr>
            <w:tcW w:type="dxa" w:w="2600"/>
            <w:tcMar>
              <w:top w:type="dxa" w:w="60"/>
              <w:left w:type="dxa" w:w="100"/>
              <w:bottom w:type="dxa" w:w="60"/>
              <w:right w:type="dxa" w:w="100"/>
            </w:tcMar>
            <w:vAlign w:val="center"/>
          </w:tcPr>
          <w:p>
            <w:pPr>
              <w:jc w:val="center"/>
            </w:pPr>
            <w:r>
              <w:rPr>
                <w:b w:val="false"/>
                <w:bCs w:val="false"/>
                <w:sz w:val="19"/>
                <w:szCs w:val="19"/>
              </w:rPr>
              <w:t xml:space="preserve">Informal Sector Integration</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w:t>
            </w:r>
          </w:p>
        </w:tc>
        <w:tc>
          <w:tcPr>
            <w:tcW w:type="dxa" w:w="2200"/>
            <w:tcMar>
              <w:top w:type="dxa" w:w="60"/>
              <w:left w:type="dxa" w:w="100"/>
              <w:bottom w:type="dxa" w:w="60"/>
              <w:right w:type="dxa" w:w="100"/>
            </w:tcMar>
            <w:vAlign w:val="center"/>
          </w:tcPr>
          <w:p>
            <w:pPr>
              <w:jc w:val="center"/>
            </w:pPr>
            <w:r>
              <w:rPr>
                <w:b w:val="false"/>
                <w:bCs w:val="false"/>
                <w:sz w:val="19"/>
                <w:szCs w:val="19"/>
              </w:rPr>
              <w:t xml:space="preserve">1 (i.e., 100% formalization target)</w:t>
            </w:r>
          </w:p>
        </w:tc>
        <w:tc>
          <w:tcPr>
            <w:tcW w:type="dxa" w:w="2900"/>
            <w:tcMar>
              <w:top w:type="dxa" w:w="60"/>
              <w:left w:type="dxa" w:w="100"/>
              <w:bottom w:type="dxa" w:w="60"/>
              <w:right w:type="dxa" w:w="100"/>
            </w:tcMar>
            <w:vAlign w:val="center"/>
          </w:tcPr>
          <w:p>
            <w:pPr>
              <w:jc w:val="center"/>
            </w:pPr>
            <w:r>
              <w:rPr>
                <w:b w:val="false"/>
                <w:bCs w:val="false"/>
                <w:sz w:val="19"/>
                <w:szCs w:val="19"/>
              </w:rPr>
              <w:t xml:space="preserve">0 hotspots / 0 workers identified (vacuous)</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6</w:t>
            </w:r>
          </w:p>
        </w:tc>
        <w:tc>
          <w:tcPr>
            <w:tcW w:type="dxa" w:w="2600"/>
            <w:tcMar>
              <w:top w:type="dxa" w:w="60"/>
              <w:left w:type="dxa" w:w="100"/>
              <w:bottom w:type="dxa" w:w="60"/>
              <w:right w:type="dxa" w:w="100"/>
            </w:tcMar>
            <w:vAlign w:val="center"/>
          </w:tcPr>
          <w:p>
            <w:pPr>
              <w:jc w:val="center"/>
            </w:pPr>
            <w:r>
              <w:rPr>
                <w:b w:val="false"/>
                <w:bCs w:val="false"/>
                <w:sz w:val="19"/>
                <w:szCs w:val="19"/>
              </w:rPr>
              <w:t xml:space="preserve">Environmental &amp; Health Safeguards</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w:t>
            </w:r>
          </w:p>
        </w:tc>
        <w:tc>
          <w:tcPr>
            <w:tcW w:type="dxa" w:w="2200"/>
            <w:tcMar>
              <w:top w:type="dxa" w:w="60"/>
              <w:left w:type="dxa" w:w="100"/>
              <w:bottom w:type="dxa" w:w="60"/>
              <w:right w:type="dxa" w:w="100"/>
            </w:tcMar>
            <w:vAlign w:val="center"/>
          </w:tcPr>
          <w:p>
            <w:pPr>
              <w:jc w:val="center"/>
            </w:pPr>
            <w:r>
              <w:rPr>
                <w:b w:val="false"/>
                <w:bCs w:val="false"/>
                <w:sz w:val="19"/>
                <w:szCs w:val="19"/>
              </w:rPr>
              <w:t xml:space="preserve">1 (i.e., 100% monitoring coverage target)</w:t>
            </w:r>
          </w:p>
        </w:tc>
        <w:tc>
          <w:tcPr>
            <w:tcW w:type="dxa" w:w="2900"/>
            <w:tcMar>
              <w:top w:type="dxa" w:w="60"/>
              <w:left w:type="dxa" w:w="100"/>
              <w:bottom w:type="dxa" w:w="60"/>
              <w:right w:type="dxa" w:w="100"/>
            </w:tcMar>
            <w:vAlign w:val="center"/>
          </w:tcPr>
          <w:p>
            <w:pPr>
              <w:jc w:val="center"/>
            </w:pPr>
            <w:r>
              <w:rPr>
                <w:b w:val="false"/>
                <w:bCs w:val="false"/>
                <w:sz w:val="19"/>
                <w:szCs w:val="19"/>
              </w:rPr>
              <w:t xml:space="preserve">0 hotspots identified to monitor (vacuous)</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r>
      <w:tr>
        <w:tc>
          <w:tcPr>
            <w:tcW w:type="dxa" w:w="500"/>
            <w:tcMar>
              <w:top w:type="dxa" w:w="60"/>
              <w:left w:type="dxa" w:w="100"/>
              <w:bottom w:type="dxa" w:w="60"/>
              <w:right w:type="dxa" w:w="100"/>
            </w:tcMar>
            <w:vAlign w:val="center"/>
          </w:tcPr>
          <w:p>
            <w:pPr>
              <w:jc w:val="left"/>
            </w:pPr>
            <w:r>
              <w:rPr>
                <w:b w:val="false"/>
                <w:bCs w:val="false"/>
                <w:sz w:val="19"/>
                <w:szCs w:val="19"/>
              </w:rPr>
              <w:t xml:space="preserve">7</w:t>
            </w:r>
          </w:p>
        </w:tc>
        <w:tc>
          <w:tcPr>
            <w:tcW w:type="dxa" w:w="2600"/>
            <w:tcMar>
              <w:top w:type="dxa" w:w="60"/>
              <w:left w:type="dxa" w:w="100"/>
              <w:bottom w:type="dxa" w:w="60"/>
              <w:right w:type="dxa" w:w="100"/>
            </w:tcMar>
            <w:vAlign w:val="center"/>
          </w:tcPr>
          <w:p>
            <w:pPr>
              <w:jc w:val="center"/>
            </w:pPr>
            <w:r>
              <w:rPr>
                <w:b w:val="false"/>
                <w:bCs w:val="false"/>
                <w:sz w:val="19"/>
                <w:szCs w:val="19"/>
              </w:rPr>
              <w:t xml:space="preserve">Awareness &amp; Outreach</w:t>
            </w:r>
          </w:p>
        </w:tc>
        <w:tc>
          <w:tcPr>
            <w:tcW w:type="dxa" w:w="1100"/>
            <w:tcMar>
              <w:top w:type="dxa" w:w="60"/>
              <w:left w:type="dxa" w:w="100"/>
              <w:bottom w:type="dxa" w:w="60"/>
              <w:right w:type="dxa" w:w="100"/>
            </w:tcMar>
            <w:vAlign w:val="center"/>
          </w:tcPr>
          <w:p>
            <w:pPr>
              <w:jc w:val="center"/>
            </w:pPr>
            <w:r>
              <w:rPr>
                <w:b w:val="false"/>
                <w:bCs w:val="false"/>
                <w:sz w:val="19"/>
                <w:szCs w:val="19"/>
              </w:rPr>
              <w:t xml:space="preserve">10%</w:t>
            </w:r>
          </w:p>
        </w:tc>
        <w:tc>
          <w:tcPr>
            <w:tcW w:type="dxa" w:w="2200"/>
            <w:tcMar>
              <w:top w:type="dxa" w:w="60"/>
              <w:left w:type="dxa" w:w="100"/>
              <w:bottom w:type="dxa" w:w="60"/>
              <w:right w:type="dxa" w:w="100"/>
            </w:tcMar>
            <w:vAlign w:val="center"/>
          </w:tcPr>
          <w:p>
            <w:pPr>
              <w:jc w:val="center"/>
            </w:pPr>
            <w:r>
              <w:rPr>
                <w:b w:val="false"/>
                <w:bCs w:val="false"/>
                <w:sz w:val="19"/>
                <w:szCs w:val="19"/>
              </w:rPr>
              <w:t xml:space="preserve">20 programs/year</w:t>
            </w:r>
          </w:p>
        </w:tc>
        <w:tc>
          <w:tcPr>
            <w:tcW w:type="dxa" w:w="2900"/>
            <w:tcMar>
              <w:top w:type="dxa" w:w="60"/>
              <w:left w:type="dxa" w:w="100"/>
              <w:bottom w:type="dxa" w:w="60"/>
              <w:right w:type="dxa" w:w="100"/>
            </w:tcMar>
            <w:vAlign w:val="center"/>
          </w:tcPr>
          <w:p>
            <w:pPr>
              <w:jc w:val="center"/>
            </w:pPr>
            <w:r>
              <w:rPr>
                <w:b w:val="false"/>
                <w:bCs w:val="false"/>
                <w:sz w:val="19"/>
                <w:szCs w:val="19"/>
              </w:rPr>
              <w:t xml:space="preserve">2 programs conducted</w:t>
            </w:r>
          </w:p>
        </w:tc>
        <w:tc>
          <w:tcPr>
            <w:tcW w:type="dxa" w:w="1500"/>
            <w:tcMar>
              <w:top w:type="dxa" w:w="60"/>
              <w:left w:type="dxa" w:w="100"/>
              <w:bottom w:type="dxa" w:w="60"/>
              <w:right w:type="dxa" w:w="100"/>
            </w:tcMar>
            <w:vAlign w:val="center"/>
          </w:tcPr>
          <w:p>
            <w:pPr>
              <w:jc w:val="center"/>
            </w:pPr>
            <w:r>
              <w:rPr>
                <w:b w:val="false"/>
                <w:bCs w:val="false"/>
                <w:sz w:val="19"/>
                <w:szCs w:val="19"/>
              </w:rPr>
              <w:t xml:space="preserve">10%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w:t>
            </w:r>
          </w:p>
        </w:tc>
      </w:tr>
    </w:tbl>
    <w:p>
      <w:pPr>
        <w:spacing w:after="160"/>
      </w:pPr>
      <w:r>
        <w:rPr>
          <w:b/>
          <w:bCs/>
        </w:rPr>
        <w:t xml:space="preserve">TOTAL STATE SCORE: 47.34 / 100 – Performance Band: Needs Improvement</w:t>
      </w:r>
    </w:p>
    <w:p>
      <w:pPr>
        <w:spacing w:after="160"/>
      </w:pPr>
      <w:r>
        <w:rPr>
          <w:i/>
          <w:iCs/>
          <w:color w:val="555555"/>
          <w:sz w:val="19"/>
          <w:szCs w:val="19"/>
        </w:rPr>
        <w:t xml:space="preserve">Score Bands (per 0_Scorecard sheet): 85-100 Excellent | 65-84 Good | 45-64 Needs Improvement | 0-44 Critical.</w:t>
      </w:r>
    </w:p>
    <w:p>
      <w:pPr>
        <w:spacing w:after="160"/>
      </w:pPr>
      <w:r>
        <w:t xml:space="preserve">Rows marked "*" (Categories 3, 5, and 6) rest on judgement calls explained in Sections 3, 6, 8, and 9 rather than directly reported percentages: Category 3 is scored 0% because no recovery rate could be computed (a conservative, data-gap-driven score, not a measured zero); Categories 5 and 6 are scored 100% vacuously because their denominators (identified hotspots/workers) are zero in the data supplied. If Category 3 were instead excluded pending data and the remaining six categories re-weighted proportionally, or if Categories 5–6 were instead treated as not-yet-verified/excluded, the total score would differ materially from 47.34.</w:t>
      </w:r>
    </w:p>
    <w:p>
      <w:r>
        <w:br w:type="page"/>
      </w:r>
    </w:p>
    <w:p>
      <w:pPr>
        <w:pStyle w:val="Heading1"/>
        <w:spacing w:after="150" w:before="300"/>
      </w:pPr>
      <w:r>
        <w:t xml:space="preserve">12. Key Findings &amp; Gap Analysis</w:t>
      </w:r>
    </w:p>
    <w:p>
      <w:pPr>
        <w:pStyle w:val="Heading2"/>
        <w:spacing w:after="120" w:before="240"/>
      </w:pPr>
      <w:r>
        <w:t xml:space="preserve">12.1 Strongest-Scoring Categories</w:t>
      </w:r>
    </w:p>
    <w:p>
      <w:pPr>
        <w:pStyle w:val="ListParagraph"/>
        <w:numPr>
          <w:ilvl w:val="0"/>
          <w:numId w:val="2"/>
        </w:numPr>
        <w:spacing w:after="80"/>
      </w:pPr>
      <w:r>
        <w:rPr>
          <w:b/>
          <w:bCs/>
        </w:rPr>
        <w:t xml:space="preserve">Generation &amp; Inventory (Section 4): </w:t>
      </w:r>
      <w:r>
        <w:t xml:space="preserve">100% of districts (6/6) reported complete data, reflecting strong data-collection discipline across a small state, though the benchmark unit inconsistency noted in Section 3.2 should be corrected.</w:t>
      </w:r>
    </w:p>
    <w:p>
      <w:pPr>
        <w:pStyle w:val="ListParagraph"/>
        <w:numPr>
          <w:ilvl w:val="0"/>
          <w:numId w:val="2"/>
        </w:numPr>
        <w:spacing w:after="80"/>
      </w:pPr>
      <w:r>
        <w:rPr>
          <w:b/>
          <w:bCs/>
        </w:rPr>
        <w:t xml:space="preserve">Regulatory Compliance (Section 7): </w:t>
      </w:r>
      <w:r>
        <w:t xml:space="preserve">1 of 2 registered producers/EPR entities is Compliant (50%), with the single non-compliant entity already under active penalty proceedings.</w:t>
      </w:r>
    </w:p>
    <w:p>
      <w:pPr>
        <w:spacing w:after="160"/>
      </w:pPr>
      <w:r>
        <w:t xml:space="preserve">Two further categories (Informal Sector Integration and Environmental &amp; Health Safeguards) show 100% achievement in Section 11, but as set out above and repeated here for emphasis, these are vacuous scores arising from zero recorded hotspots/workers rather than demonstrated strong performance, and should not be read as strengths without further verification.</w:t>
      </w:r>
    </w:p>
    <w:p>
      <w:pPr>
        <w:pStyle w:val="Heading2"/>
        <w:spacing w:after="120" w:before="240"/>
      </w:pPr>
      <w:r>
        <w:t xml:space="preserve">12.2 Weakest-Scoring Categories</w:t>
      </w:r>
    </w:p>
    <w:p>
      <w:pPr>
        <w:pStyle w:val="ListParagraph"/>
        <w:numPr>
          <w:ilvl w:val="0"/>
          <w:numId w:val="2"/>
        </w:numPr>
        <w:spacing w:after="80"/>
      </w:pPr>
      <w:r>
        <w:rPr>
          <w:b/>
          <w:bCs/>
        </w:rPr>
        <w:t xml:space="preserve">Formal Recycling &amp; Treatment (Section 6): </w:t>
      </w:r>
      <w:r>
        <w:t xml:space="preserve">the single largest and most unambiguous gap in this report. Sikkim has no in-state authorised recycling/dismantling facility; e-waste is transported to West Bengal under an arrangement for which no material recovery rate is reported, and actual processed volume (24.1 t) covers only 33.01% of state generation (73.00 t).</w:t>
      </w:r>
    </w:p>
    <w:p>
      <w:pPr>
        <w:pStyle w:val="ListParagraph"/>
        <w:numPr>
          <w:ilvl w:val="0"/>
          <w:numId w:val="2"/>
        </w:numPr>
        <w:spacing w:after="80"/>
      </w:pPr>
      <w:r>
        <w:rPr>
          <w:b/>
          <w:bCs/>
        </w:rPr>
        <w:t xml:space="preserve">Collection Performance (Section 5): </w:t>
      </w:r>
      <w:r>
        <w:t xml:space="preserve">the state collection rate of 19.18% is well below the 100% benchmark and well below EPR-target achievement of 46.67%, with 5 of 6 districts recording zero registered collection centers.</w:t>
      </w:r>
    </w:p>
    <w:p>
      <w:pPr>
        <w:pStyle w:val="ListParagraph"/>
        <w:numPr>
          <w:ilvl w:val="0"/>
          <w:numId w:val="2"/>
        </w:numPr>
        <w:spacing w:after="80"/>
      </w:pPr>
      <w:r>
        <w:rPr>
          <w:b/>
          <w:bCs/>
        </w:rPr>
        <w:t xml:space="preserve">Awareness &amp; Outreach (Section 10): </w:t>
      </w:r>
      <w:r>
        <w:t xml:space="preserve">only 2 of a 20-program annual benchmark were conducted (10.0%), the lowest achievement percentage among the categories with directly measurable (non-vacuous) data.</w:t>
      </w:r>
    </w:p>
    <w:p>
      <w:pPr>
        <w:pStyle w:val="ListParagraph"/>
        <w:numPr>
          <w:ilvl w:val="0"/>
          <w:numId w:val="2"/>
        </w:numPr>
        <w:spacing w:after="80"/>
      </w:pPr>
      <w:r>
        <w:rPr>
          <w:b/>
          <w:bCs/>
        </w:rPr>
        <w:t xml:space="preserve">Regulatory Compliance data quality (Section 7): </w:t>
      </w:r>
      <w:r>
        <w:t xml:space="preserve">only 1 of 2 planned inspections was conducted (50%), and the single entity marked "Penalty Resolved = Yes" without a corresponding issued penalty is an internal data inconsistency requiring correction.</w:t>
      </w:r>
    </w:p>
    <w:p>
      <w:pPr>
        <w:pStyle w:val="Heading2"/>
        <w:spacing w:after="120" w:before="240"/>
      </w:pPr>
      <w:r>
        <w:t xml:space="preserve">12.3 Data Quality &amp; Verification Gaps</w:t>
      </w:r>
    </w:p>
    <w:p>
      <w:pPr>
        <w:pStyle w:val="ListParagraph"/>
        <w:numPr>
          <w:ilvl w:val="0"/>
          <w:numId w:val="2"/>
        </w:numPr>
        <w:spacing w:after="80"/>
      </w:pPr>
      <w:r>
        <w:t xml:space="preserve">The absence of any recorded informal-sector hotspots or workers (Section 8) and the general, non-hotspot-specific nature of the two environmental monitoring visits (Section 9) mean two of the seven scorecard categories cannot be verified as genuine strong performance versus an unsurveyed data gap.</w:t>
      </w:r>
    </w:p>
    <w:p>
      <w:pPr>
        <w:pStyle w:val="ListParagraph"/>
        <w:numPr>
          <w:ilvl w:val="0"/>
          <w:numId w:val="2"/>
        </w:numPr>
        <w:spacing w:after="80"/>
      </w:pPr>
      <w:r>
        <w:t xml:space="preserve">The sole recycling/dismantling entry's material recovery rate is recorded as "N/A", leaving Category 3 without a computable Achievement % and driving nearly half of the state's total score shortfall on its own (20% weight, scored 0%).</w:t>
      </w:r>
    </w:p>
    <w:p>
      <w:r>
        <w:br w:type="page"/>
      </w:r>
    </w:p>
    <w:p>
      <w:pPr>
        <w:pStyle w:val="Heading1"/>
        <w:spacing w:after="150" w:before="300"/>
      </w:pPr>
      <w:r>
        <w:t xml:space="preserve">13. Recommendations</w:t>
      </w:r>
    </w:p>
    <w:p>
      <w:pPr>
        <w:pStyle w:val="ListParagraph"/>
        <w:numPr>
          <w:ilvl w:val="0"/>
          <w:numId w:val="2"/>
        </w:numPr>
        <w:spacing w:after="80"/>
      </w:pPr>
      <w:r>
        <w:rPr>
          <w:b/>
          <w:bCs/>
        </w:rPr>
        <w:t xml:space="preserve">1. </w:t>
      </w:r>
      <w:r>
        <w:t xml:space="preserve">Establish or formally contract in-state (or dedicated cross-border) authorised recycling/dismantling capacity, and obtain a verified material recovery rate from the West Bengal facility currently processing Sikkim's e-waste, so that Category 3 can be scored from actual data rather than treated as a 0% data gap.</w:t>
      </w:r>
    </w:p>
    <w:p>
      <w:pPr>
        <w:pStyle w:val="ListParagraph"/>
        <w:numPr>
          <w:ilvl w:val="0"/>
          <w:numId w:val="2"/>
        </w:numPr>
        <w:spacing w:after="80"/>
      </w:pPr>
      <w:r>
        <w:rPr>
          <w:b/>
          <w:bCs/>
        </w:rPr>
        <w:t xml:space="preserve">2. </w:t>
      </w:r>
      <w:r>
        <w:t xml:space="preserve">Expand registered collection centers beyond Gangtok into the five districts (Namchi, Gyalshing, Mangan, Pakyong, Soreng) currently recording zero centers, and consider a decentralised, community-based collection mechanism to raise the state collection rate from 19.18% toward the 100% benchmark.</w:t>
      </w:r>
    </w:p>
    <w:p>
      <w:pPr>
        <w:pStyle w:val="ListParagraph"/>
        <w:numPr>
          <w:ilvl w:val="0"/>
          <w:numId w:val="2"/>
        </w:numPr>
        <w:spacing w:after="80"/>
      </w:pPr>
      <w:r>
        <w:rPr>
          <w:b/>
          <w:bCs/>
        </w:rPr>
        <w:t xml:space="preserve">3. </w:t>
      </w:r>
      <w:r>
        <w:t xml:space="preserve">Scale up awareness and outreach programming substantially – current performance (2 of a 20-program annual target) is the weakest directly-measured category; SSPCB should set a district-wise annual awareness-campaign calendar, particularly extending outreach to the four districts (Gyalshing, Mangan, Pakyong, Soreng) with no recorded programs in the period.</w:t>
      </w:r>
    </w:p>
    <w:p>
      <w:pPr>
        <w:pStyle w:val="ListParagraph"/>
        <w:numPr>
          <w:ilvl w:val="0"/>
          <w:numId w:val="2"/>
        </w:numPr>
        <w:spacing w:after="80"/>
      </w:pPr>
      <w:r>
        <w:rPr>
          <w:b/>
          <w:bCs/>
        </w:rPr>
        <w:t xml:space="preserve">4. </w:t>
      </w:r>
      <w:r>
        <w:t xml:space="preserve">Commission and document a statewide informal e-waste sector survey to confirm whether the zero-hotspot finding in Section 8 reflects a genuine absence or an unsurveyed gap, and update the 5_Informal_Sector_Hotspots sheet with dated, site-level survey records rather than a single placeholder row.</w:t>
      </w:r>
    </w:p>
    <w:p>
      <w:pPr>
        <w:pStyle w:val="ListParagraph"/>
        <w:numPr>
          <w:ilvl w:val="0"/>
          <w:numId w:val="2"/>
        </w:numPr>
        <w:spacing w:after="80"/>
      </w:pPr>
      <w:r>
        <w:rPr>
          <w:b/>
          <w:bCs/>
        </w:rPr>
        <w:t xml:space="preserve">5. </w:t>
      </w:r>
      <w:r>
        <w:t xml:space="preserve">Conduct at least one e-waste-hotspot-specific environmental monitoring visit and health camp, distinct from the general NAMP/NWMP ambient stations currently recorded, once/if informal or formal e-waste handling sites are identified under Recommendation 4.</w:t>
      </w:r>
    </w:p>
    <w:p>
      <w:pPr>
        <w:pStyle w:val="ListParagraph"/>
        <w:numPr>
          <w:ilvl w:val="0"/>
          <w:numId w:val="2"/>
        </w:numPr>
        <w:spacing w:after="80"/>
      </w:pPr>
      <w:r>
        <w:rPr>
          <w:b/>
          <w:bCs/>
        </w:rPr>
        <w:t xml:space="preserve">6. </w:t>
      </w:r>
      <w:r>
        <w:t xml:space="preserve">Complete the 1 pending inspection (of 2 planned) in the Compliance Tracker, and pursue time-bound resolution of the 1 outstanding penalty/show-cause proceeding against the non-compliant EPR entity (Section 7).</w:t>
      </w:r>
    </w:p>
    <w:p>
      <w:pPr>
        <w:pStyle w:val="ListParagraph"/>
        <w:numPr>
          <w:ilvl w:val="0"/>
          <w:numId w:val="2"/>
        </w:numPr>
        <w:spacing w:after="80"/>
      </w:pPr>
      <w:r>
        <w:rPr>
          <w:b/>
          <w:bCs/>
        </w:rPr>
        <w:t xml:space="preserve">7. </w:t>
      </w:r>
      <w:r>
        <w:t xml:space="preserve">Correct the internally inconsistent compliance record for Entity A ("Penalty Resolved = Yes" against "Penalty Issued = No") ahead of the next submission.</w:t>
      </w:r>
    </w:p>
    <w:p>
      <w:pPr>
        <w:pStyle w:val="ListParagraph"/>
        <w:numPr>
          <w:ilvl w:val="0"/>
          <w:numId w:val="2"/>
        </w:numPr>
        <w:spacing w:after="80"/>
      </w:pPr>
      <w:r>
        <w:rPr>
          <w:b/>
          <w:bCs/>
        </w:rPr>
        <w:t xml:space="preserve">8. </w:t>
      </w:r>
      <w:r>
        <w:t xml:space="preserve">Correct the benchmark/target value entered for the Generation &amp; Inventory category on the "0_Scorecard" sheet, which is not currently expressed in a unit consistent with its associated indicator, so that future scorecards compute this category's Achievement % without manual reinterpretation.</w:t>
      </w:r>
    </w:p>
    <w:p>
      <w:pPr>
        <w:pStyle w:val="ListParagraph"/>
        <w:numPr>
          <w:ilvl w:val="0"/>
          <w:numId w:val="2"/>
        </w:numPr>
        <w:spacing w:after="80"/>
      </w:pPr>
      <w:r>
        <w:rPr>
          <w:b/>
          <w:bCs/>
        </w:rPr>
        <w:t xml:space="preserve">9. </w:t>
      </w:r>
      <w:r>
        <w:t xml:space="preserve">Adopt and document an explicit scorecard convention for zero-denominator categories (Informal Sector Integration, Environmental &amp; Health Safeguards) and for missing-indicator categories (Formal Recycling &amp; Treatment), so that future scores are computed consistently rather than requiring case-by-case judgement calls as in this report.</w:t>
      </w:r>
    </w:p>
    <w:p>
      <w:pPr>
        <w:pStyle w:val="ListParagraph"/>
        <w:numPr>
          <w:ilvl w:val="0"/>
          <w:numId w:val="2"/>
        </w:numPr>
        <w:spacing w:after="80"/>
      </w:pPr>
      <w:r>
        <w:rPr>
          <w:b/>
          <w:bCs/>
        </w:rPr>
        <w:t xml:space="preserve">10. </w:t>
      </w:r>
      <w:r>
        <w:t xml:space="preserve">Replace placeholder producer/EPR entity names in the Compliance Tracker with verified SSPCB/CPCB registration records ahead of the next formal submission to CPCB/MoEFCC.</w:t>
      </w:r>
    </w:p>
    <w:p>
      <w:r>
        <w:br w:type="page"/>
      </w:r>
    </w:p>
    <w:p>
      <w:pPr>
        <w:pStyle w:val="Heading1"/>
        <w:spacing w:after="150" w:before="300"/>
      </w:pPr>
      <w:r>
        <w:t xml:space="preserve">14. Annexures – Full Raw Data Tables</w:t>
      </w:r>
    </w:p>
    <w:p>
      <w:pPr>
        <w:spacing w:after="160"/>
      </w:pPr>
      <w:r>
        <w:t xml:space="preserve">The following tables reproduce the complete district-level and entity-level data from all seven sheets of the Sikkim State E-Waste Dashboard workbook, for verification and audit purposes.</w:t>
      </w:r>
    </w:p>
    <w:p>
      <w:pPr>
        <w:pStyle w:val="Heading2"/>
        <w:spacing w:after="120" w:before="240"/>
      </w:pPr>
      <w:r>
        <w:t xml:space="preserve">Annexure A – Sheet 1: Generation Inventory (Full)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750"/>
        <w:gridCol w:w="1050"/>
        <w:gridCol w:w="1150"/>
        <w:gridCol w:w="1150"/>
        <w:gridCol w:w="1050"/>
        <w:gridCol w:w="950"/>
        <w:gridCol w:w="950"/>
        <w:gridCol w:w="900"/>
        <w:gridCol w:w="1000"/>
        <w:gridCol w:w="1050"/>
      </w:tblGrid>
      <w:tr>
        <w:trPr>
          <w:tblHeader/>
        </w:trPr>
        <w:tc>
          <w:tcPr>
            <w:tcW w:type="dxa" w:w="175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050"/>
            <w:shd w:fill="D9D9D9" w:val="clear"/>
            <w:tcMar>
              <w:top w:type="dxa" w:w="60"/>
              <w:left w:type="dxa" w:w="100"/>
              <w:bottom w:type="dxa" w:w="60"/>
              <w:right w:type="dxa" w:w="100"/>
            </w:tcMar>
            <w:vAlign w:val="center"/>
          </w:tcPr>
          <w:p>
            <w:pPr>
              <w:jc w:val="left"/>
            </w:pPr>
            <w:r>
              <w:rPr>
                <w:b/>
                <w:bCs/>
                <w:sz w:val="19"/>
                <w:szCs w:val="19"/>
              </w:rPr>
              <w:t xml:space="preserve">Population</w:t>
            </w:r>
          </w:p>
        </w:tc>
        <w:tc>
          <w:tcPr>
            <w:tcW w:type="dxa" w:w="1150"/>
            <w:shd w:fill="D9D9D9" w:val="clear"/>
            <w:tcMar>
              <w:top w:type="dxa" w:w="60"/>
              <w:left w:type="dxa" w:w="100"/>
              <w:bottom w:type="dxa" w:w="60"/>
              <w:right w:type="dxa" w:w="100"/>
            </w:tcMar>
            <w:vAlign w:val="center"/>
          </w:tcPr>
          <w:p>
            <w:pPr>
              <w:jc w:val="left"/>
            </w:pPr>
            <w:r>
              <w:rPr>
                <w:b/>
                <w:bCs/>
                <w:sz w:val="19"/>
                <w:szCs w:val="19"/>
              </w:rPr>
              <w:t xml:space="preserve">IT &amp; Telecom (kg)</w:t>
            </w:r>
          </w:p>
        </w:tc>
        <w:tc>
          <w:tcPr>
            <w:tcW w:type="dxa" w:w="1150"/>
            <w:shd w:fill="D9D9D9" w:val="clear"/>
            <w:tcMar>
              <w:top w:type="dxa" w:w="60"/>
              <w:left w:type="dxa" w:w="100"/>
              <w:bottom w:type="dxa" w:w="60"/>
              <w:right w:type="dxa" w:w="100"/>
            </w:tcMar>
            <w:vAlign w:val="center"/>
          </w:tcPr>
          <w:p>
            <w:pPr>
              <w:jc w:val="left"/>
            </w:pPr>
            <w:r>
              <w:rPr>
                <w:b/>
                <w:bCs/>
                <w:sz w:val="19"/>
                <w:szCs w:val="19"/>
              </w:rPr>
              <w:t xml:space="preserve">Consumer Elec. (kg)</w:t>
            </w:r>
          </w:p>
        </w:tc>
        <w:tc>
          <w:tcPr>
            <w:tcW w:type="dxa" w:w="1050"/>
            <w:shd w:fill="D9D9D9" w:val="clear"/>
            <w:tcMar>
              <w:top w:type="dxa" w:w="60"/>
              <w:left w:type="dxa" w:w="100"/>
              <w:bottom w:type="dxa" w:w="60"/>
              <w:right w:type="dxa" w:w="100"/>
            </w:tcMar>
            <w:vAlign w:val="center"/>
          </w:tcPr>
          <w:p>
            <w:pPr>
              <w:jc w:val="left"/>
            </w:pPr>
            <w:r>
              <w:rPr>
                <w:b/>
                <w:bCs/>
                <w:sz w:val="19"/>
                <w:szCs w:val="19"/>
              </w:rPr>
              <w:t xml:space="preserve">L&amp;S Equip. (kg)</w:t>
            </w:r>
          </w:p>
        </w:tc>
        <w:tc>
          <w:tcPr>
            <w:tcW w:type="dxa" w:w="950"/>
            <w:shd w:fill="D9D9D9" w:val="clear"/>
            <w:tcMar>
              <w:top w:type="dxa" w:w="60"/>
              <w:left w:type="dxa" w:w="100"/>
              <w:bottom w:type="dxa" w:w="60"/>
              <w:right w:type="dxa" w:w="100"/>
            </w:tcMar>
            <w:vAlign w:val="center"/>
          </w:tcPr>
          <w:p>
            <w:pPr>
              <w:jc w:val="left"/>
            </w:pPr>
            <w:r>
              <w:rPr>
                <w:b/>
                <w:bCs/>
                <w:sz w:val="19"/>
                <w:szCs w:val="19"/>
              </w:rPr>
              <w:t xml:space="preserve">Lighting (kg)</w:t>
            </w:r>
          </w:p>
        </w:tc>
        <w:tc>
          <w:tcPr>
            <w:tcW w:type="dxa" w:w="950"/>
            <w:shd w:fill="D9D9D9" w:val="clear"/>
            <w:tcMar>
              <w:top w:type="dxa" w:w="60"/>
              <w:left w:type="dxa" w:w="100"/>
              <w:bottom w:type="dxa" w:w="60"/>
              <w:right w:type="dxa" w:w="100"/>
            </w:tcMar>
            <w:vAlign w:val="center"/>
          </w:tcPr>
          <w:p>
            <w:pPr>
              <w:jc w:val="left"/>
            </w:pPr>
            <w:r>
              <w:rPr>
                <w:b/>
                <w:bCs/>
                <w:sz w:val="19"/>
                <w:szCs w:val="19"/>
              </w:rPr>
              <w:t xml:space="preserve">Batteries (kg)</w:t>
            </w:r>
          </w:p>
        </w:tc>
        <w:tc>
          <w:tcPr>
            <w:tcW w:type="dxa" w:w="900"/>
            <w:shd w:fill="D9D9D9" w:val="clear"/>
            <w:tcMar>
              <w:top w:type="dxa" w:w="60"/>
              <w:left w:type="dxa" w:w="100"/>
              <w:bottom w:type="dxa" w:w="60"/>
              <w:right w:type="dxa" w:w="100"/>
            </w:tcMar>
            <w:vAlign w:val="center"/>
          </w:tcPr>
          <w:p>
            <w:pPr>
              <w:jc w:val="left"/>
            </w:pPr>
            <w:r>
              <w:rPr>
                <w:b/>
                <w:bCs/>
                <w:sz w:val="19"/>
                <w:szCs w:val="19"/>
              </w:rPr>
              <w:t xml:space="preserve">Other (kg)</w:t>
            </w:r>
          </w:p>
        </w:tc>
        <w:tc>
          <w:tcPr>
            <w:tcW w:type="dxa" w:w="1000"/>
            <w:shd w:fill="D9D9D9" w:val="clear"/>
            <w:tcMar>
              <w:top w:type="dxa" w:w="60"/>
              <w:left w:type="dxa" w:w="100"/>
              <w:bottom w:type="dxa" w:w="60"/>
              <w:right w:type="dxa" w:w="100"/>
            </w:tcMar>
            <w:vAlign w:val="center"/>
          </w:tcPr>
          <w:p>
            <w:pPr>
              <w:jc w:val="left"/>
            </w:pPr>
            <w:r>
              <w:rPr>
                <w:b/>
                <w:bCs/>
                <w:sz w:val="19"/>
                <w:szCs w:val="19"/>
              </w:rPr>
              <w:t xml:space="preserve">Total (kg)</w:t>
            </w:r>
          </w:p>
        </w:tc>
        <w:tc>
          <w:tcPr>
            <w:tcW w:type="dxa" w:w="1050"/>
            <w:shd w:fill="D9D9D9" w:val="clear"/>
            <w:tcMar>
              <w:top w:type="dxa" w:w="60"/>
              <w:left w:type="dxa" w:w="100"/>
              <w:bottom w:type="dxa" w:w="60"/>
              <w:right w:type="dxa" w:w="100"/>
            </w:tcMar>
            <w:vAlign w:val="center"/>
          </w:tcPr>
          <w:p>
            <w:pPr>
              <w:jc w:val="left"/>
            </w:pPr>
            <w:r>
              <w:rPr>
                <w:b/>
                <w:bCs/>
                <w:sz w:val="19"/>
                <w:szCs w:val="19"/>
              </w:rPr>
              <w:t xml:space="preserve">Date Updated</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Gangtok (East Sikkim)</w:t>
            </w:r>
          </w:p>
        </w:tc>
        <w:tc>
          <w:tcPr>
            <w:tcW w:type="dxa" w:w="1050"/>
            <w:tcMar>
              <w:top w:type="dxa" w:w="60"/>
              <w:left w:type="dxa" w:w="100"/>
              <w:bottom w:type="dxa" w:w="60"/>
              <w:right w:type="dxa" w:w="100"/>
            </w:tcMar>
            <w:vAlign w:val="center"/>
          </w:tcPr>
          <w:p>
            <w:pPr>
              <w:jc w:val="center"/>
            </w:pPr>
            <w:r>
              <w:rPr>
                <w:b w:val="false"/>
                <w:bCs w:val="false"/>
                <w:sz w:val="19"/>
                <w:szCs w:val="19"/>
              </w:rPr>
              <w:t xml:space="preserve">2,83,583</w:t>
            </w:r>
          </w:p>
        </w:tc>
        <w:tc>
          <w:tcPr>
            <w:tcW w:type="dxa" w:w="1150"/>
            <w:tcMar>
              <w:top w:type="dxa" w:w="60"/>
              <w:left w:type="dxa" w:w="100"/>
              <w:bottom w:type="dxa" w:w="60"/>
              <w:right w:type="dxa" w:w="100"/>
            </w:tcMar>
            <w:vAlign w:val="center"/>
          </w:tcPr>
          <w:p>
            <w:pPr>
              <w:jc w:val="center"/>
            </w:pPr>
            <w:r>
              <w:rPr>
                <w:b w:val="false"/>
                <w:bCs w:val="false"/>
                <w:sz w:val="19"/>
                <w:szCs w:val="19"/>
              </w:rPr>
              <w:t xml:space="preserve">20,000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10,000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5,000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4,000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1,500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42,500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30-06-2026</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Namchi (South Sikkim)</w:t>
            </w:r>
          </w:p>
        </w:tc>
        <w:tc>
          <w:tcPr>
            <w:tcW w:type="dxa" w:w="1050"/>
            <w:tcMar>
              <w:top w:type="dxa" w:w="60"/>
              <w:left w:type="dxa" w:w="100"/>
              <w:bottom w:type="dxa" w:w="60"/>
              <w:right w:type="dxa" w:w="100"/>
            </w:tcMar>
            <w:vAlign w:val="center"/>
          </w:tcPr>
          <w:p>
            <w:pPr>
              <w:jc w:val="center"/>
            </w:pPr>
            <w:r>
              <w:rPr>
                <w:b w:val="false"/>
                <w:bCs w:val="false"/>
                <w:sz w:val="19"/>
                <w:szCs w:val="19"/>
              </w:rPr>
              <w:t xml:space="preserve">1,46,850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6,000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3,000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500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600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12,100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30-06-2026</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Gyalshing (West Sikkim)</w:t>
            </w:r>
          </w:p>
        </w:tc>
        <w:tc>
          <w:tcPr>
            <w:tcW w:type="dxa" w:w="1050"/>
            <w:tcMar>
              <w:top w:type="dxa" w:w="60"/>
              <w:left w:type="dxa" w:w="100"/>
              <w:bottom w:type="dxa" w:w="60"/>
              <w:right w:type="dxa" w:w="100"/>
            </w:tcMar>
            <w:vAlign w:val="center"/>
          </w:tcPr>
          <w:p>
            <w:pPr>
              <w:jc w:val="center"/>
            </w:pPr>
            <w:r>
              <w:rPr>
                <w:b w:val="false"/>
                <w:bCs w:val="false"/>
                <w:sz w:val="19"/>
                <w:szCs w:val="19"/>
              </w:rPr>
              <w:t xml:space="preserve">1,36,299</w:t>
            </w:r>
          </w:p>
        </w:tc>
        <w:tc>
          <w:tcPr>
            <w:tcW w:type="dxa" w:w="1150"/>
            <w:tcMar>
              <w:top w:type="dxa" w:w="60"/>
              <w:left w:type="dxa" w:w="100"/>
              <w:bottom w:type="dxa" w:w="60"/>
              <w:right w:type="dxa" w:w="100"/>
            </w:tcMar>
            <w:vAlign w:val="center"/>
          </w:tcPr>
          <w:p>
            <w:pPr>
              <w:jc w:val="center"/>
            </w:pPr>
            <w:r>
              <w:rPr>
                <w:b w:val="false"/>
                <w:bCs w:val="false"/>
                <w:sz w:val="19"/>
                <w:szCs w:val="19"/>
              </w:rPr>
              <w:t xml:space="preserve">4,000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500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600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400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8,500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30-06-2026</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Mangan (North Sikkim)</w:t>
            </w:r>
          </w:p>
        </w:tc>
        <w:tc>
          <w:tcPr>
            <w:tcW w:type="dxa" w:w="1050"/>
            <w:tcMar>
              <w:top w:type="dxa" w:w="60"/>
              <w:left w:type="dxa" w:w="100"/>
              <w:bottom w:type="dxa" w:w="60"/>
              <w:right w:type="dxa" w:w="100"/>
            </w:tcMar>
            <w:vAlign w:val="center"/>
          </w:tcPr>
          <w:p>
            <w:pPr>
              <w:jc w:val="center"/>
            </w:pPr>
            <w:r>
              <w:rPr>
                <w:b w:val="false"/>
                <w:bCs w:val="false"/>
                <w:sz w:val="19"/>
                <w:szCs w:val="19"/>
              </w:rPr>
              <w:t xml:space="preserve">43,709</w:t>
            </w:r>
          </w:p>
        </w:tc>
        <w:tc>
          <w:tcPr>
            <w:tcW w:type="dxa" w:w="115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200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100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400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2,400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30-06-2026</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Pakyong</w:t>
            </w:r>
          </w:p>
        </w:tc>
        <w:tc>
          <w:tcPr>
            <w:tcW w:type="dxa" w:w="1050"/>
            <w:tcMar>
              <w:top w:type="dxa" w:w="60"/>
              <w:left w:type="dxa" w:w="100"/>
              <w:bottom w:type="dxa" w:w="60"/>
              <w:right w:type="dxa" w:w="100"/>
            </w:tcMar>
            <w:vAlign w:val="center"/>
          </w:tcPr>
          <w:p>
            <w:pPr>
              <w:jc w:val="center"/>
            </w:pPr>
            <w:r>
              <w:rPr>
                <w:b w:val="false"/>
                <w:bCs w:val="false"/>
                <w:sz w:val="19"/>
                <w:szCs w:val="19"/>
              </w:rPr>
              <w:t xml:space="preserve">74,583</w:t>
            </w:r>
          </w:p>
        </w:tc>
        <w:tc>
          <w:tcPr>
            <w:tcW w:type="dxa" w:w="115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500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200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300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4,200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30-06-2026</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Soreng</w:t>
            </w:r>
          </w:p>
        </w:tc>
        <w:tc>
          <w:tcPr>
            <w:tcW w:type="dxa" w:w="1050"/>
            <w:tcMar>
              <w:top w:type="dxa" w:w="60"/>
              <w:left w:type="dxa" w:w="100"/>
              <w:bottom w:type="dxa" w:w="60"/>
              <w:right w:type="dxa" w:w="100"/>
            </w:tcMar>
            <w:vAlign w:val="center"/>
          </w:tcPr>
          <w:p>
            <w:pPr>
              <w:jc w:val="center"/>
            </w:pPr>
            <w:r>
              <w:rPr>
                <w:b w:val="false"/>
                <w:bCs w:val="false"/>
                <w:sz w:val="19"/>
                <w:szCs w:val="19"/>
              </w:rPr>
              <w:t xml:space="preserve">64,760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1,500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800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400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200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200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200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3,300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30-06-2026</w:t>
            </w:r>
          </w:p>
        </w:tc>
      </w:tr>
      <w:tr>
        <w:tc>
          <w:tcPr>
            <w:tcW w:type="dxa" w:w="1750"/>
            <w:tcMar>
              <w:top w:type="dxa" w:w="60"/>
              <w:left w:type="dxa" w:w="100"/>
              <w:bottom w:type="dxa" w:w="60"/>
              <w:right w:type="dxa" w:w="100"/>
            </w:tcMar>
            <w:vAlign w:val="center"/>
          </w:tcPr>
          <w:p>
            <w:pPr>
              <w:jc w:val="left"/>
            </w:pPr>
            <w:r>
              <w:rPr>
                <w:b w:val="false"/>
                <w:bCs w:val="false"/>
                <w:sz w:val="19"/>
                <w:szCs w:val="19"/>
              </w:rPr>
              <w:t xml:space="preserve">STATE TOTAL</w:t>
            </w:r>
          </w:p>
        </w:tc>
        <w:tc>
          <w:tcPr>
            <w:tcW w:type="dxa" w:w="1050"/>
            <w:tcMar>
              <w:top w:type="dxa" w:w="60"/>
              <w:left w:type="dxa" w:w="100"/>
              <w:bottom w:type="dxa" w:w="60"/>
              <w:right w:type="dxa" w:w="100"/>
            </w:tcMar>
            <w:vAlign w:val="center"/>
          </w:tcPr>
          <w:p>
            <w:pPr>
              <w:jc w:val="center"/>
            </w:pPr>
            <w:r>
              <w:rPr>
                <w:b w:val="false"/>
                <w:bCs w:val="false"/>
                <w:sz w:val="19"/>
                <w:szCs w:val="19"/>
              </w:rPr>
              <w:t xml:space="preserve">7,49,784</w:t>
            </w:r>
          </w:p>
        </w:tc>
        <w:tc>
          <w:tcPr>
            <w:tcW w:type="dxa" w:w="1150"/>
            <w:tcMar>
              <w:top w:type="dxa" w:w="60"/>
              <w:left w:type="dxa" w:w="100"/>
              <w:bottom w:type="dxa" w:w="60"/>
              <w:right w:type="dxa" w:w="100"/>
            </w:tcMar>
            <w:vAlign w:val="center"/>
          </w:tcPr>
          <w:p>
            <w:pPr>
              <w:jc w:val="center"/>
            </w:pPr>
            <w:r>
              <w:rPr>
                <w:b w:val="false"/>
                <w:bCs w:val="false"/>
                <w:sz w:val="19"/>
                <w:szCs w:val="19"/>
              </w:rPr>
              <w:t xml:space="preserve">34,500</w:t>
            </w:r>
          </w:p>
        </w:tc>
        <w:tc>
          <w:tcPr>
            <w:tcW w:type="dxa" w:w="1150"/>
            <w:tcMar>
              <w:top w:type="dxa" w:w="60"/>
              <w:left w:type="dxa" w:w="100"/>
              <w:bottom w:type="dxa" w:w="60"/>
              <w:right w:type="dxa" w:w="100"/>
            </w:tcMar>
            <w:vAlign w:val="center"/>
          </w:tcPr>
          <w:p>
            <w:pPr>
              <w:jc w:val="center"/>
            </w:pPr>
            <w:r>
              <w:rPr>
                <w:b w:val="false"/>
                <w:bCs w:val="false"/>
                <w:sz w:val="19"/>
                <w:szCs w:val="19"/>
              </w:rPr>
              <w:t xml:space="preserve">17,300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8,100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3,500</w:t>
            </w:r>
          </w:p>
        </w:tc>
        <w:tc>
          <w:tcPr>
            <w:tcW w:type="dxa" w:w="950"/>
            <w:tcMar>
              <w:top w:type="dxa" w:w="60"/>
              <w:left w:type="dxa" w:w="100"/>
              <w:bottom w:type="dxa" w:w="60"/>
              <w:right w:type="dxa" w:w="100"/>
            </w:tcMar>
            <w:vAlign w:val="center"/>
          </w:tcPr>
          <w:p>
            <w:pPr>
              <w:jc w:val="center"/>
            </w:pPr>
            <w:r>
              <w:rPr>
                <w:b w:val="false"/>
                <w:bCs w:val="false"/>
                <w:sz w:val="19"/>
                <w:szCs w:val="19"/>
              </w:rPr>
              <w:t xml:space="preserve">6,500</w:t>
            </w:r>
          </w:p>
        </w:tc>
        <w:tc>
          <w:tcPr>
            <w:tcW w:type="dxa" w:w="900"/>
            <w:tcMar>
              <w:top w:type="dxa" w:w="60"/>
              <w:left w:type="dxa" w:w="100"/>
              <w:bottom w:type="dxa" w:w="60"/>
              <w:right w:type="dxa" w:w="100"/>
            </w:tcMar>
            <w:vAlign w:val="center"/>
          </w:tcPr>
          <w:p>
            <w:pPr>
              <w:jc w:val="center"/>
            </w:pPr>
            <w:r>
              <w:rPr>
                <w:b w:val="false"/>
                <w:bCs w:val="false"/>
                <w:sz w:val="19"/>
                <w:szCs w:val="19"/>
              </w:rPr>
              <w:t xml:space="preserve">3,100</w:t>
            </w:r>
          </w:p>
        </w:tc>
        <w:tc>
          <w:tcPr>
            <w:tcW w:type="dxa" w:w="1000"/>
            <w:tcMar>
              <w:top w:type="dxa" w:w="60"/>
              <w:left w:type="dxa" w:w="100"/>
              <w:bottom w:type="dxa" w:w="60"/>
              <w:right w:type="dxa" w:w="100"/>
            </w:tcMar>
            <w:vAlign w:val="center"/>
          </w:tcPr>
          <w:p>
            <w:pPr>
              <w:jc w:val="center"/>
            </w:pPr>
            <w:r>
              <w:rPr>
                <w:b w:val="false"/>
                <w:bCs w:val="false"/>
                <w:sz w:val="19"/>
                <w:szCs w:val="19"/>
              </w:rPr>
              <w:t xml:space="preserve">73,000</w:t>
            </w:r>
          </w:p>
        </w:tc>
        <w:tc>
          <w:tcPr>
            <w:tcW w:type="dxa" w:w="1050"/>
            <w:tcMar>
              <w:top w:type="dxa" w:w="60"/>
              <w:left w:type="dxa" w:w="100"/>
              <w:bottom w:type="dxa" w:w="60"/>
              <w:right w:type="dxa" w:w="100"/>
            </w:tcMar>
            <w:vAlign w:val="center"/>
          </w:tcPr>
          <w:p>
            <w:pPr>
              <w:jc w:val="center"/>
            </w:pPr>
            <w:r>
              <w:rPr>
                <w:b w:val="false"/>
                <w:bCs w:val="false"/>
                <w:sz w:val="19"/>
                <w:szCs w:val="19"/>
              </w:rPr>
              <w:t xml:space="preserve">—</w:t>
            </w:r>
          </w:p>
        </w:tc>
      </w:tr>
    </w:tbl>
    <w:p>
      <w:pPr>
        <w:pStyle w:val="Heading2"/>
        <w:spacing w:after="120" w:before="240"/>
      </w:pPr>
      <w:r>
        <w:t xml:space="preserve">Annexure B – Sheet 2: Collection Log (Full)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100"/>
        <w:gridCol w:w="1400"/>
        <w:gridCol w:w="1400"/>
        <w:gridCol w:w="1900"/>
      </w:tblGrid>
      <w:tr>
        <w:trPr>
          <w:tblHeader/>
        </w:trPr>
        <w:tc>
          <w:tcPr>
            <w:tcW w:type="dxa" w:w="19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Generated (kg)</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Collected (kg)</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Reg. Centers</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EPR Target (kg)</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EPR Achieved (kg)</w:t>
            </w:r>
          </w:p>
        </w:tc>
        <w:tc>
          <w:tcPr>
            <w:tcW w:type="dxa" w:w="1900"/>
            <w:shd w:fill="D9D9D9" w:val="clear"/>
            <w:tcMar>
              <w:top w:type="dxa" w:w="60"/>
              <w:left w:type="dxa" w:w="100"/>
              <w:bottom w:type="dxa" w:w="60"/>
              <w:right w:type="dxa" w:w="100"/>
            </w:tcMar>
            <w:vAlign w:val="center"/>
          </w:tcPr>
          <w:p>
            <w:pPr>
              <w:jc w:val="left"/>
            </w:pPr>
            <w:r>
              <w:rPr>
                <w:b/>
                <w:bCs/>
                <w:sz w:val="19"/>
                <w:szCs w:val="19"/>
              </w:rPr>
              <w:t xml:space="preserve">Remarks</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Gangtok (East Sikkim)</w:t>
            </w:r>
          </w:p>
        </w:tc>
        <w:tc>
          <w:tcPr>
            <w:tcW w:type="dxa" w:w="1400"/>
            <w:tcMar>
              <w:top w:type="dxa" w:w="60"/>
              <w:left w:type="dxa" w:w="100"/>
              <w:bottom w:type="dxa" w:w="60"/>
              <w:right w:type="dxa" w:w="100"/>
            </w:tcMar>
            <w:vAlign w:val="center"/>
          </w:tcPr>
          <w:p>
            <w:pPr>
              <w:jc w:val="center"/>
            </w:pPr>
            <w:r>
              <w:rPr>
                <w:b w:val="false"/>
                <w:bCs w:val="false"/>
                <w:sz w:val="19"/>
                <w:szCs w:val="19"/>
              </w:rPr>
              <w:t xml:space="preserve">42,500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8,500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8,500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Mostly institutional</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Namchi (South Sikkim)</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12,100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2,100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5,000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2,100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Limited household collection</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Gyalshing (West Sikkim)</w:t>
            </w:r>
          </w:p>
        </w:tc>
        <w:tc>
          <w:tcPr>
            <w:tcW w:type="dxa" w:w="1400"/>
            <w:tcMar>
              <w:top w:type="dxa" w:w="60"/>
              <w:left w:type="dxa" w:w="100"/>
              <w:bottom w:type="dxa" w:w="60"/>
              <w:right w:type="dxa" w:w="100"/>
            </w:tcMar>
            <w:vAlign w:val="center"/>
          </w:tcPr>
          <w:p>
            <w:pPr>
              <w:jc w:val="center"/>
            </w:pPr>
            <w:r>
              <w:rPr>
                <w:b w:val="false"/>
                <w:bCs w:val="false"/>
                <w:sz w:val="19"/>
                <w:szCs w:val="19"/>
              </w:rPr>
              <w:t xml:space="preserve">8,500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1,200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1,200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Mangan (North Sikkim)</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2,400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500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Pakyong</w:t>
            </w:r>
          </w:p>
        </w:tc>
        <w:tc>
          <w:tcPr>
            <w:tcW w:type="dxa" w:w="1400"/>
            <w:tcMar>
              <w:top w:type="dxa" w:w="60"/>
              <w:left w:type="dxa" w:w="100"/>
              <w:bottom w:type="dxa" w:w="60"/>
              <w:right w:type="dxa" w:w="100"/>
            </w:tcMar>
            <w:vAlign w:val="center"/>
          </w:tcPr>
          <w:p>
            <w:pPr>
              <w:jc w:val="center"/>
            </w:pPr>
            <w:r>
              <w:rPr>
                <w:b w:val="false"/>
                <w:bCs w:val="false"/>
                <w:sz w:val="19"/>
                <w:szCs w:val="19"/>
              </w:rPr>
              <w:t xml:space="preserve">4,200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800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800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Soreng</w:t>
            </w:r>
          </w:p>
        </w:tc>
        <w:tc>
          <w:tcPr>
            <w:tcW w:type="dxa" w:w="1400"/>
            <w:tcMar>
              <w:top w:type="dxa" w:w="60"/>
              <w:left w:type="dxa" w:w="100"/>
              <w:bottom w:type="dxa" w:w="60"/>
              <w:right w:type="dxa" w:w="100"/>
            </w:tcMar>
            <w:vAlign w:val="center"/>
          </w:tcPr>
          <w:p>
            <w:pPr>
              <w:jc w:val="center"/>
            </w:pPr>
            <w:r>
              <w:rPr>
                <w:b w:val="false"/>
                <w:bCs w:val="false"/>
                <w:sz w:val="19"/>
                <w:szCs w:val="19"/>
              </w:rPr>
              <w:t xml:space="preserve">3,300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900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900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w:t>
            </w:r>
          </w:p>
        </w:tc>
      </w:tr>
      <w:tr>
        <w:tc>
          <w:tcPr>
            <w:tcW w:type="dxa" w:w="1900"/>
            <w:tcMar>
              <w:top w:type="dxa" w:w="60"/>
              <w:left w:type="dxa" w:w="100"/>
              <w:bottom w:type="dxa" w:w="60"/>
              <w:right w:type="dxa" w:w="100"/>
            </w:tcMar>
            <w:vAlign w:val="center"/>
          </w:tcPr>
          <w:p>
            <w:pPr>
              <w:jc w:val="left"/>
            </w:pPr>
            <w:r>
              <w:rPr>
                <w:b w:val="false"/>
                <w:bCs w:val="false"/>
                <w:sz w:val="19"/>
                <w:szCs w:val="19"/>
              </w:rPr>
              <w:t xml:space="preserve">STATE TOTAL</w:t>
            </w:r>
          </w:p>
        </w:tc>
        <w:tc>
          <w:tcPr>
            <w:tcW w:type="dxa" w:w="1400"/>
            <w:tcMar>
              <w:top w:type="dxa" w:w="60"/>
              <w:left w:type="dxa" w:w="100"/>
              <w:bottom w:type="dxa" w:w="60"/>
              <w:right w:type="dxa" w:w="100"/>
            </w:tcMar>
            <w:vAlign w:val="center"/>
          </w:tcPr>
          <w:p>
            <w:pPr>
              <w:jc w:val="center"/>
            </w:pPr>
            <w:r>
              <w:rPr>
                <w:b w:val="false"/>
                <w:bCs w:val="false"/>
                <w:sz w:val="19"/>
                <w:szCs w:val="19"/>
              </w:rPr>
              <w:t xml:space="preserve">73,000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14,000</w:t>
            </w:r>
          </w:p>
        </w:tc>
        <w:tc>
          <w:tcPr>
            <w:tcW w:type="dxa" w:w="1100"/>
            <w:tcMar>
              <w:top w:type="dxa" w:w="60"/>
              <w:left w:type="dxa" w:w="100"/>
              <w:bottom w:type="dxa" w:w="60"/>
              <w:right w:type="dxa" w:w="100"/>
            </w:tcMar>
            <w:vAlign w:val="center"/>
          </w:tcPr>
          <w:p>
            <w:pPr>
              <w:jc w:val="center"/>
            </w:pPr>
            <w:r>
              <w:rPr>
                <w:b w:val="false"/>
                <w:bCs w:val="false"/>
                <w:sz w:val="19"/>
                <w:szCs w:val="19"/>
              </w:rPr>
              <w:t xml:space="preserve">2</w:t>
            </w:r>
          </w:p>
        </w:tc>
        <w:tc>
          <w:tcPr>
            <w:tcW w:type="dxa" w:w="1400"/>
            <w:tcMar>
              <w:top w:type="dxa" w:w="60"/>
              <w:left w:type="dxa" w:w="100"/>
              <w:bottom w:type="dxa" w:w="60"/>
              <w:right w:type="dxa" w:w="100"/>
            </w:tcMar>
            <w:vAlign w:val="center"/>
          </w:tcPr>
          <w:p>
            <w:pPr>
              <w:jc w:val="center"/>
            </w:pPr>
            <w:r>
              <w:rPr>
                <w:b w:val="false"/>
                <w:bCs w:val="false"/>
                <w:sz w:val="19"/>
                <w:szCs w:val="19"/>
              </w:rPr>
              <w:t xml:space="preserve">30,000</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14,000</w:t>
            </w:r>
          </w:p>
        </w:tc>
        <w:tc>
          <w:tcPr>
            <w:tcW w:type="dxa" w:w="1900"/>
            <w:tcMar>
              <w:top w:type="dxa" w:w="60"/>
              <w:left w:type="dxa" w:w="100"/>
              <w:bottom w:type="dxa" w:w="60"/>
              <w:right w:type="dxa" w:w="100"/>
            </w:tcMar>
            <w:vAlign w:val="center"/>
          </w:tcPr>
          <w:p>
            <w:pPr>
              <w:jc w:val="center"/>
            </w:pPr>
            <w:r>
              <w:rPr>
                <w:b w:val="false"/>
                <w:bCs w:val="false"/>
                <w:sz w:val="19"/>
                <w:szCs w:val="19"/>
              </w:rPr>
              <w:t xml:space="preserve">—</w:t>
            </w:r>
          </w:p>
        </w:tc>
      </w:tr>
    </w:tbl>
    <w:p>
      <w:pPr>
        <w:pStyle w:val="Heading2"/>
        <w:spacing w:after="120" w:before="240"/>
      </w:pPr>
      <w:r>
        <w:t xml:space="preserve">Annexure C – Sheet 3: Recycling Infrastructure (Full)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1300"/>
        <w:gridCol w:w="1300"/>
        <w:gridCol w:w="1300"/>
        <w:gridCol w:w="1200"/>
      </w:tblGrid>
      <w:tr>
        <w:trPr>
          <w:tblHeader/>
        </w:trPr>
        <w:tc>
          <w:tcPr>
            <w:tcW w:type="dxa" w:w="2900"/>
            <w:shd w:fill="D9D9D9" w:val="clear"/>
            <w:tcMar>
              <w:top w:type="dxa" w:w="60"/>
              <w:left w:type="dxa" w:w="100"/>
              <w:bottom w:type="dxa" w:w="60"/>
              <w:right w:type="dxa" w:w="100"/>
            </w:tcMar>
            <w:vAlign w:val="center"/>
          </w:tcPr>
          <w:p>
            <w:pPr>
              <w:jc w:val="left"/>
            </w:pPr>
            <w:r>
              <w:rPr>
                <w:b/>
                <w:bCs/>
                <w:sz w:val="19"/>
                <w:szCs w:val="19"/>
              </w:rPr>
              <w:t xml:space="preserve">Recycler/Dismantler</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Authorisation No.</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Installed Cap. (t/yr)</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Processed (t)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Recovery Rate</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Valid Till</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No Local Facilities – Transported to West Bengal</w:t>
            </w:r>
          </w:p>
        </w:tc>
        <w:tc>
          <w:tcPr>
            <w:tcW w:type="dxa" w:w="1600"/>
            <w:tcMar>
              <w:top w:type="dxa" w:w="60"/>
              <w:left w:type="dxa" w:w="100"/>
              <w:bottom w:type="dxa" w:w="60"/>
              <w:right w:type="dxa" w:w="100"/>
            </w:tcMar>
            <w:vAlign w:val="center"/>
          </w:tcPr>
          <w:p>
            <w:pPr>
              <w:jc w:val="center"/>
            </w:pPr>
            <w:r>
              <w:rPr>
                <w:b w:val="false"/>
                <w:bCs w:val="false"/>
                <w:sz w:val="19"/>
                <w:szCs w:val="19"/>
              </w:rPr>
              <w:t xml:space="preserve">SK/WB-Auth/2026</w:t>
            </w:r>
          </w:p>
        </w:tc>
        <w:tc>
          <w:tcPr>
            <w:tcW w:type="dxa" w:w="1400"/>
            <w:tcMar>
              <w:top w:type="dxa" w:w="60"/>
              <w:left w:type="dxa" w:w="100"/>
              <w:bottom w:type="dxa" w:w="60"/>
              <w:right w:type="dxa" w:w="100"/>
            </w:tcMar>
            <w:vAlign w:val="center"/>
          </w:tcPr>
          <w:p>
            <w:pPr>
              <w:jc w:val="center"/>
            </w:pPr>
            <w:r>
              <w:rPr>
                <w:b w:val="false"/>
                <w:bCs w:val="false"/>
                <w:sz w:val="19"/>
                <w:szCs w:val="19"/>
              </w:rPr>
              <w:t xml:space="preserve">All Districts</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24.1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sz w:val="19"/>
                <w:szCs w:val="19"/>
              </w:rPr>
              <w:t xml:space="preserve">31-12-2027</w:t>
            </w:r>
          </w:p>
        </w:tc>
      </w:tr>
      <w:tr>
        <w:tc>
          <w:tcPr>
            <w:tcW w:type="dxa" w:w="2900"/>
            <w:tcMar>
              <w:top w:type="dxa" w:w="60"/>
              <w:left w:type="dxa" w:w="100"/>
              <w:bottom w:type="dxa" w:w="60"/>
              <w:right w:type="dxa" w:w="100"/>
            </w:tcMar>
            <w:vAlign w:val="center"/>
          </w:tcPr>
          <w:p>
            <w:pPr>
              <w:jc w:val="left"/>
            </w:pPr>
            <w:r>
              <w:rPr>
                <w:b w:val="false"/>
                <w:bCs w:val="false"/>
                <w:sz w:val="19"/>
                <w:szCs w:val="19"/>
              </w:rPr>
              <w:t xml:space="preserve">STATE TOTAL</w:t>
            </w:r>
          </w:p>
        </w:tc>
        <w:tc>
          <w:tcPr>
            <w:tcW w:type="dxa" w:w="1600"/>
            <w:tcMar>
              <w:top w:type="dxa" w:w="60"/>
              <w:left w:type="dxa" w:w="100"/>
              <w:bottom w:type="dxa" w:w="60"/>
              <w:right w:type="dxa" w:w="100"/>
            </w:tcMar>
            <w:vAlign w:val="center"/>
          </w:tcPr>
          <w:p>
            <w:pPr>
              <w:jc w:val="center"/>
            </w:pPr>
            <w:r>
              <w:rPr>
                <w:b w:val="false"/>
                <w:bCs w:val="false"/>
                <w:sz w:val="19"/>
                <w:szCs w:val="19"/>
              </w:rPr>
              <w:t xml:space="preserv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100</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24.1</w:t>
            </w:r>
          </w:p>
        </w:tc>
        <w:tc>
          <w:tcPr>
            <w:tcW w:type="dxa" w:w="1300"/>
            <w:tcMar>
              <w:top w:type="dxa" w:w="60"/>
              <w:left w:type="dxa" w:w="100"/>
              <w:bottom w:type="dxa" w:w="60"/>
              <w:right w:type="dxa" w:w="100"/>
            </w:tcMar>
            <w:vAlign w:val="center"/>
          </w:tcPr>
          <w:p>
            <w:pPr>
              <w:jc w:val="center"/>
            </w:pPr>
            <w:r>
              <w:rPr>
                <w:b w:val="false"/>
                <w:bCs w:val="false"/>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sz w:val="19"/>
                <w:szCs w:val="19"/>
              </w:rPr>
              <w:t xml:space="preserve">—</w:t>
            </w:r>
          </w:p>
        </w:tc>
      </w:tr>
    </w:tbl>
    <w:p>
      <w:pPr>
        <w:pStyle w:val="Heading2"/>
        <w:spacing w:after="120" w:before="240"/>
      </w:pPr>
      <w:r>
        <w:t xml:space="preserve">Annexure D – Sheet 4: Compliance Tracker (Full)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100"/>
        <w:gridCol w:w="1200"/>
        <w:gridCol w:w="1200"/>
        <w:gridCol w:w="1200"/>
        <w:gridCol w:w="1400"/>
      </w:tblGrid>
      <w:tr>
        <w:trPr>
          <w:tblHeader/>
        </w:trPr>
        <w:tc>
          <w:tcPr>
            <w:tcW w:type="dxa" w:w="1300"/>
            <w:shd w:fill="D9D9D9" w:val="clear"/>
            <w:tcMar>
              <w:top w:type="dxa" w:w="60"/>
              <w:left w:type="dxa" w:w="100"/>
              <w:bottom w:type="dxa" w:w="60"/>
              <w:right w:type="dxa" w:w="100"/>
            </w:tcMar>
            <w:vAlign w:val="center"/>
          </w:tcPr>
          <w:p>
            <w:pPr>
              <w:jc w:val="left"/>
            </w:pPr>
            <w:r>
              <w:rPr>
                <w:b/>
                <w:bCs/>
                <w:sz w:val="19"/>
                <w:szCs w:val="19"/>
              </w:rPr>
              <w:t xml:space="preserve">Entity</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Reg. No.</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Status</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Insp. Planned</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Insp. Conducted</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Penalty Issued</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Penalty Resolved</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Remarks</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Entity A</w:t>
            </w:r>
          </w:p>
        </w:tc>
        <w:tc>
          <w:tcPr>
            <w:tcW w:type="dxa" w:w="1300"/>
            <w:tcMar>
              <w:top w:type="dxa" w:w="60"/>
              <w:left w:type="dxa" w:w="100"/>
              <w:bottom w:type="dxa" w:w="60"/>
              <w:right w:type="dxa" w:w="100"/>
            </w:tcMar>
            <w:vAlign w:val="center"/>
          </w:tcPr>
          <w:p>
            <w:pPr>
              <w:jc w:val="center"/>
            </w:pPr>
            <w:r>
              <w:rPr>
                <w:b w:val="false"/>
                <w:bCs w:val="false"/>
                <w:sz w:val="19"/>
                <w:szCs w:val="19"/>
              </w:rPr>
              <w:t xml:space="preserve">EPR/SK/001</w:t>
            </w:r>
          </w:p>
        </w:tc>
        <w:tc>
          <w:tcPr>
            <w:tcW w:type="dxa" w:w="1500"/>
            <w:tcMar>
              <w:top w:type="dxa" w:w="60"/>
              <w:left w:type="dxa" w:w="100"/>
              <w:bottom w:type="dxa" w:w="60"/>
              <w:right w:type="dxa" w:w="100"/>
            </w:tcMar>
            <w:vAlign w:val="center"/>
          </w:tcPr>
          <w:p>
            <w:pPr>
              <w:jc w:val="center"/>
            </w:pPr>
            <w:r>
              <w:rPr>
                <w:b w:val="false"/>
                <w:bCs w:val="false"/>
                <w:sz w:val="19"/>
                <w:szCs w:val="19"/>
              </w:rPr>
              <w:t xml:space="preserve">Compliant</w:t>
            </w:r>
          </w:p>
        </w:tc>
        <w:tc>
          <w:tcPr>
            <w:tcW w:type="dxa" w:w="1100"/>
            <w:tcMar>
              <w:top w:type="dxa" w:w="60"/>
              <w:left w:type="dxa" w:w="100"/>
              <w:bottom w:type="dxa" w:w="60"/>
              <w:right w:type="dxa" w:w="100"/>
            </w:tcMar>
            <w:vAlign w:val="center"/>
          </w:tcPr>
          <w:p>
            <w:pPr>
              <w:jc w:val="center"/>
            </w:pPr>
            <w:r>
              <w:rPr>
                <w:b w:val="false"/>
                <w:bCs w:val="false"/>
                <w:sz w:val="19"/>
                <w:szCs w:val="19"/>
              </w:rPr>
              <w:t xml:space="preserve">Y</w:t>
            </w:r>
          </w:p>
        </w:tc>
        <w:tc>
          <w:tcPr>
            <w:tcW w:type="dxa" w:w="1200"/>
            <w:tcMar>
              <w:top w:type="dxa" w:w="60"/>
              <w:left w:type="dxa" w:w="100"/>
              <w:bottom w:type="dxa" w:w="60"/>
              <w:right w:type="dxa" w:w="100"/>
            </w:tcMar>
            <w:vAlign w:val="center"/>
          </w:tcPr>
          <w:p>
            <w:pPr>
              <w:jc w:val="center"/>
            </w:pPr>
            <w:r>
              <w:rPr>
                <w:b w:val="false"/>
                <w:bCs w:val="false"/>
                <w:sz w:val="19"/>
                <w:szCs w:val="19"/>
              </w:rPr>
              <w:t xml:space="preserve">Y</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w:t>
            </w:r>
          </w:p>
        </w:tc>
        <w:tc>
          <w:tcPr>
            <w:tcW w:type="dxa" w:w="1200"/>
            <w:tcMar>
              <w:top w:type="dxa" w:w="60"/>
              <w:left w:type="dxa" w:w="100"/>
              <w:bottom w:type="dxa" w:w="60"/>
              <w:right w:type="dxa" w:w="100"/>
            </w:tcMar>
            <w:vAlign w:val="center"/>
          </w:tcPr>
          <w:p>
            <w:pPr>
              <w:jc w:val="center"/>
            </w:pPr>
            <w:r>
              <w:rPr>
                <w:b w:val="false"/>
                <w:bCs w:val="false"/>
                <w:sz w:val="19"/>
                <w:szCs w:val="19"/>
              </w:rPr>
              <w:t xml:space="preserve">Y</w:t>
            </w:r>
          </w:p>
        </w:tc>
        <w:tc>
          <w:tcPr>
            <w:tcW w:type="dxa" w:w="1400"/>
            <w:tcMar>
              <w:top w:type="dxa" w:w="60"/>
              <w:left w:type="dxa" w:w="100"/>
              <w:bottom w:type="dxa" w:w="60"/>
              <w:right w:type="dxa" w:w="100"/>
            </w:tcMar>
            <w:vAlign w:val="center"/>
          </w:tcPr>
          <w:p>
            <w:pPr>
              <w:jc w:val="center"/>
            </w:pPr>
            <w:r>
              <w:rPr>
                <w:b w:val="false"/>
                <w:bCs w:val="false"/>
                <w:sz w:val="19"/>
                <w:szCs w:val="19"/>
              </w:rPr>
              <w:t xml:space="preserve">—</w:t>
            </w:r>
          </w:p>
        </w:tc>
      </w:tr>
      <w:tr>
        <w:tc>
          <w:tcPr>
            <w:tcW w:type="dxa" w:w="1300"/>
            <w:tcMar>
              <w:top w:type="dxa" w:w="60"/>
              <w:left w:type="dxa" w:w="100"/>
              <w:bottom w:type="dxa" w:w="60"/>
              <w:right w:type="dxa" w:w="100"/>
            </w:tcMar>
            <w:vAlign w:val="center"/>
          </w:tcPr>
          <w:p>
            <w:pPr>
              <w:jc w:val="left"/>
            </w:pPr>
            <w:r>
              <w:rPr>
                <w:b w:val="false"/>
                <w:bCs w:val="false"/>
                <w:sz w:val="19"/>
                <w:szCs w:val="19"/>
              </w:rPr>
              <w:t xml:space="preserve">Entity B</w:t>
            </w:r>
          </w:p>
        </w:tc>
        <w:tc>
          <w:tcPr>
            <w:tcW w:type="dxa" w:w="1300"/>
            <w:tcMar>
              <w:top w:type="dxa" w:w="60"/>
              <w:left w:type="dxa" w:w="100"/>
              <w:bottom w:type="dxa" w:w="60"/>
              <w:right w:type="dxa" w:w="100"/>
            </w:tcMar>
            <w:vAlign w:val="center"/>
          </w:tcPr>
          <w:p>
            <w:pPr>
              <w:jc w:val="center"/>
            </w:pPr>
            <w:r>
              <w:rPr>
                <w:b w:val="false"/>
                <w:bCs w:val="false"/>
                <w:sz w:val="19"/>
                <w:szCs w:val="19"/>
              </w:rPr>
              <w:t xml:space="preserve">EPR/SK/002</w:t>
            </w:r>
          </w:p>
        </w:tc>
        <w:tc>
          <w:tcPr>
            <w:tcW w:type="dxa" w:w="1500"/>
            <w:tcMar>
              <w:top w:type="dxa" w:w="60"/>
              <w:left w:type="dxa" w:w="100"/>
              <w:bottom w:type="dxa" w:w="60"/>
              <w:right w:type="dxa" w:w="100"/>
            </w:tcMar>
            <w:vAlign w:val="center"/>
          </w:tcPr>
          <w:p>
            <w:pPr>
              <w:jc w:val="center"/>
            </w:pPr>
            <w:r>
              <w:rPr>
                <w:b w:val="false"/>
                <w:bCs w:val="false"/>
                <w:sz w:val="19"/>
                <w:szCs w:val="19"/>
              </w:rPr>
              <w:t xml:space="preserve">Non-Compliant</w:t>
            </w:r>
          </w:p>
        </w:tc>
        <w:tc>
          <w:tcPr>
            <w:tcW w:type="dxa" w:w="1100"/>
            <w:tcMar>
              <w:top w:type="dxa" w:w="60"/>
              <w:left w:type="dxa" w:w="100"/>
              <w:bottom w:type="dxa" w:w="60"/>
              <w:right w:type="dxa" w:w="100"/>
            </w:tcMar>
            <w:vAlign w:val="center"/>
          </w:tcPr>
          <w:p>
            <w:pPr>
              <w:jc w:val="center"/>
            </w:pPr>
            <w:r>
              <w:rPr>
                <w:b w:val="false"/>
                <w:bCs w:val="false"/>
                <w:sz w:val="19"/>
                <w:szCs w:val="19"/>
              </w:rPr>
              <w:t xml:space="preserve">Y</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w:t>
            </w:r>
          </w:p>
        </w:tc>
        <w:tc>
          <w:tcPr>
            <w:tcW w:type="dxa" w:w="1200"/>
            <w:tcMar>
              <w:top w:type="dxa" w:w="60"/>
              <w:left w:type="dxa" w:w="100"/>
              <w:bottom w:type="dxa" w:w="60"/>
              <w:right w:type="dxa" w:w="100"/>
            </w:tcMar>
            <w:vAlign w:val="center"/>
          </w:tcPr>
          <w:p>
            <w:pPr>
              <w:jc w:val="center"/>
            </w:pPr>
            <w:r>
              <w:rPr>
                <w:b w:val="false"/>
                <w:bCs w:val="false"/>
                <w:sz w:val="19"/>
                <w:szCs w:val="19"/>
              </w:rPr>
              <w:t xml:space="preserve">Y</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w:t>
            </w:r>
          </w:p>
        </w:tc>
        <w:tc>
          <w:tcPr>
            <w:tcW w:type="dxa" w:w="1400"/>
            <w:tcMar>
              <w:top w:type="dxa" w:w="60"/>
              <w:left w:type="dxa" w:w="100"/>
              <w:bottom w:type="dxa" w:w="60"/>
              <w:right w:type="dxa" w:w="100"/>
            </w:tcMar>
            <w:vAlign w:val="center"/>
          </w:tcPr>
          <w:p>
            <w:pPr>
              <w:jc w:val="center"/>
            </w:pPr>
            <w:r>
              <w:rPr>
                <w:b w:val="false"/>
                <w:bCs w:val="false"/>
                <w:sz w:val="19"/>
                <w:szCs w:val="19"/>
              </w:rPr>
              <w:t xml:space="preserve">Notice served</w:t>
            </w:r>
          </w:p>
        </w:tc>
      </w:tr>
    </w:tbl>
    <w:p>
      <w:pPr>
        <w:pStyle w:val="Heading2"/>
        <w:spacing w:after="120" w:before="240"/>
      </w:pPr>
      <w:r>
        <w:t xml:space="preserve">Annexure E – Sheet 5: Informal Sector Hotspots (Full)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1200"/>
        <w:gridCol w:w="1200"/>
        <w:gridCol w:w="1600"/>
        <w:gridCol w:w="1700"/>
      </w:tblGrid>
      <w:tr>
        <w:trPr>
          <w:tblHeader/>
        </w:trPr>
        <w:tc>
          <w:tcPr>
            <w:tcW w:type="dxa" w:w="2600"/>
            <w:shd w:fill="D9D9D9" w:val="clear"/>
            <w:tcMar>
              <w:top w:type="dxa" w:w="60"/>
              <w:left w:type="dxa" w:w="100"/>
              <w:bottom w:type="dxa" w:w="60"/>
              <w:right w:type="dxa" w:w="100"/>
            </w:tcMar>
            <w:vAlign w:val="center"/>
          </w:tcPr>
          <w:p>
            <w:pPr>
              <w:jc w:val="left"/>
            </w:pPr>
            <w:r>
              <w:rPr>
                <w:b/>
                <w:bCs/>
                <w:sz w:val="19"/>
                <w:szCs w:val="19"/>
              </w:rPr>
              <w:t xml:space="preserve">Cluster</w:t>
            </w:r>
          </w:p>
        </w:tc>
        <w:tc>
          <w:tcPr>
            <w:tcW w:type="dxa" w:w="10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900"/>
            <w:shd w:fill="D9D9D9" w:val="clear"/>
            <w:tcMar>
              <w:top w:type="dxa" w:w="60"/>
              <w:left w:type="dxa" w:w="100"/>
              <w:bottom w:type="dxa" w:w="60"/>
              <w:right w:type="dxa" w:w="100"/>
            </w:tcMar>
            <w:vAlign w:val="center"/>
          </w:tcPr>
          <w:p>
            <w:pPr>
              <w:jc w:val="left"/>
            </w:pPr>
            <w:r>
              <w:rPr>
                <w:b/>
                <w:bCs/>
                <w:sz w:val="19"/>
                <w:szCs w:val="19"/>
              </w:rPr>
              <w:t xml:space="preserve">Status</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Est. Workers</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Workers Reg.</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Formalization Action</w:t>
            </w:r>
          </w:p>
        </w:tc>
        <w:tc>
          <w:tcPr>
            <w:tcW w:type="dxa" w:w="1700"/>
            <w:shd w:fill="D9D9D9" w:val="clear"/>
            <w:tcMar>
              <w:top w:type="dxa" w:w="60"/>
              <w:left w:type="dxa" w:w="100"/>
              <w:bottom w:type="dxa" w:w="60"/>
              <w:right w:type="dxa" w:w="100"/>
            </w:tcMar>
            <w:vAlign w:val="center"/>
          </w:tcPr>
          <w:p>
            <w:pPr>
              <w:jc w:val="left"/>
            </w:pPr>
            <w:r>
              <w:rPr>
                <w:b/>
                <w:bCs/>
                <w:sz w:val="19"/>
                <w:szCs w:val="19"/>
              </w:rPr>
              <w:t xml:space="preserve">Remarks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None Identified (Sikkim Anomaly)</w:t>
            </w:r>
          </w:p>
        </w:tc>
        <w:tc>
          <w:tcPr>
            <w:tcW w:type="dxa" w:w="1000"/>
            <w:tcMar>
              <w:top w:type="dxa" w:w="60"/>
              <w:left w:type="dxa" w:w="100"/>
              <w:bottom w:type="dxa" w:w="60"/>
              <w:right w:type="dxa" w:w="100"/>
            </w:tcMar>
            <w:vAlign w:val="center"/>
          </w:tcPr>
          <w:p>
            <w:pPr>
              <w:jc w:val="center"/>
            </w:pPr>
            <w:r>
              <w:rPr>
                <w:b w:val="false"/>
                <w:bCs w:val="false"/>
                <w:sz w:val="19"/>
                <w:szCs w:val="19"/>
              </w:rPr>
              <w:t xml:space="preserve">All</w:t>
            </w:r>
          </w:p>
        </w:tc>
        <w:tc>
          <w:tcPr>
            <w:tcW w:type="dxa" w:w="900"/>
            <w:tcMar>
              <w:top w:type="dxa" w:w="60"/>
              <w:left w:type="dxa" w:w="100"/>
              <w:bottom w:type="dxa" w:w="60"/>
              <w:right w:type="dxa" w:w="100"/>
            </w:tcMar>
            <w:vAlign w:val="center"/>
          </w:tcPr>
          <w:p>
            <w:pPr>
              <w:jc w:val="center"/>
            </w:pPr>
            <w:r>
              <w:rPr>
                <w:b w:val="false"/>
                <w:bCs w:val="false"/>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w:t>
            </w:r>
          </w:p>
        </w:tc>
        <w:tc>
          <w:tcPr>
            <w:tcW w:type="dxa" w:w="1200"/>
            <w:tcMar>
              <w:top w:type="dxa" w:w="60"/>
              <w:left w:type="dxa" w:w="100"/>
              <w:bottom w:type="dxa" w:w="60"/>
              <w:right w:type="dxa" w:w="100"/>
            </w:tcMar>
            <w:vAlign w:val="center"/>
          </w:tcPr>
          <w:p>
            <w:pPr>
              <w:jc w:val="center"/>
            </w:pPr>
            <w:r>
              <w:rPr>
                <w:b w:val="false"/>
                <w:bCs w:val="false"/>
                <w:sz w:val="19"/>
                <w:szCs w:val="19"/>
              </w:rPr>
              <w:t xml:space="preserve">0</w:t>
            </w:r>
          </w:p>
        </w:tc>
        <w:tc>
          <w:tcPr>
            <w:tcW w:type="dxa" w:w="1600"/>
            <w:tcMar>
              <w:top w:type="dxa" w:w="60"/>
              <w:left w:type="dxa" w:w="100"/>
              <w:bottom w:type="dxa" w:w="60"/>
              <w:right w:type="dxa" w:w="100"/>
            </w:tcMar>
            <w:vAlign w:val="center"/>
          </w:tcPr>
          <w:p>
            <w:pPr>
              <w:jc w:val="center"/>
            </w:pPr>
            <w:r>
              <w:rPr>
                <w:b w:val="false"/>
                <w:bCs w:val="false"/>
                <w:sz w:val="19"/>
                <w:szCs w:val="19"/>
              </w:rPr>
              <w:t xml:space="preserve">N/A</w:t>
            </w:r>
          </w:p>
        </w:tc>
        <w:tc>
          <w:tcPr>
            <w:tcW w:type="dxa" w:w="1700"/>
            <w:tcMar>
              <w:top w:type="dxa" w:w="60"/>
              <w:left w:type="dxa" w:w="100"/>
              <w:bottom w:type="dxa" w:w="60"/>
              <w:right w:type="dxa" w:w="100"/>
            </w:tcMar>
            <w:vAlign w:val="center"/>
          </w:tcPr>
          <w:p>
            <w:pPr>
              <w:jc w:val="center"/>
            </w:pPr>
            <w:r>
              <w:rPr>
                <w:b w:val="false"/>
                <w:bCs w:val="false"/>
                <w:sz w:val="19"/>
                <w:szCs w:val="19"/>
              </w:rPr>
              <w:t xml:space="preserve">Zero informal workers observed</w:t>
            </w:r>
          </w:p>
        </w:tc>
      </w:tr>
    </w:tbl>
    <w:p>
      <w:pPr>
        <w:pStyle w:val="Heading2"/>
        <w:spacing w:after="120" w:before="240"/>
      </w:pPr>
      <w:r>
        <w:t xml:space="preserve">Annexure F – Sheet 6: Environmental &amp; Health Monitoring (Full)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1200"/>
        <w:gridCol w:w="1200"/>
        <w:gridCol w:w="1100"/>
        <w:gridCol w:w="1100"/>
        <w:gridCol w:w="1500"/>
      </w:tblGrid>
      <w:tr>
        <w:trPr>
          <w:tblHeader/>
        </w:trPr>
        <w:tc>
          <w:tcPr>
            <w:tcW w:type="dxa" w:w="1700"/>
            <w:shd w:fill="D9D9D9" w:val="clear"/>
            <w:tcMar>
              <w:top w:type="dxa" w:w="60"/>
              <w:left w:type="dxa" w:w="100"/>
              <w:bottom w:type="dxa" w:w="60"/>
              <w:right w:type="dxa" w:w="100"/>
            </w:tcMar>
            <w:vAlign w:val="center"/>
          </w:tcPr>
          <w:p>
            <w:pPr>
              <w:jc w:val="left"/>
            </w:pPr>
            <w:r>
              <w:rPr>
                <w:b/>
                <w:bCs/>
                <w:sz w:val="19"/>
                <w:szCs w:val="19"/>
              </w:rPr>
              <w:t xml:space="preserve">Site</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Type</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Date</w:t>
            </w:r>
          </w:p>
        </w:tc>
        <w:tc>
          <w:tcPr>
            <w:tcW w:type="dxa" w:w="1200"/>
            <w:shd w:fill="D9D9D9" w:val="clear"/>
            <w:tcMar>
              <w:top w:type="dxa" w:w="60"/>
              <w:left w:type="dxa" w:w="100"/>
              <w:bottom w:type="dxa" w:w="60"/>
              <w:right w:type="dxa" w:w="100"/>
            </w:tcMar>
            <w:vAlign w:val="center"/>
          </w:tcPr>
          <w:p>
            <w:pPr>
              <w:jc w:val="left"/>
            </w:pPr>
            <w:r>
              <w:rPr>
                <w:b/>
                <w:bCs/>
                <w:sz w:val="19"/>
                <w:szCs w:val="19"/>
              </w:rPr>
              <w:t xml:space="preserve">Result</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Health Camp</w:t>
            </w:r>
          </w:p>
        </w:tc>
        <w:tc>
          <w:tcPr>
            <w:tcW w:type="dxa" w:w="1100"/>
            <w:shd w:fill="D9D9D9" w:val="clear"/>
            <w:tcMar>
              <w:top w:type="dxa" w:w="60"/>
              <w:left w:type="dxa" w:w="100"/>
              <w:bottom w:type="dxa" w:w="60"/>
              <w:right w:type="dxa" w:w="100"/>
            </w:tcMar>
            <w:vAlign w:val="center"/>
          </w:tcPr>
          <w:p>
            <w:pPr>
              <w:jc w:val="left"/>
            </w:pPr>
            <w:r>
              <w:rPr>
                <w:b/>
                <w:bCs/>
                <w:sz w:val="19"/>
                <w:szCs w:val="19"/>
              </w:rPr>
              <w:t xml:space="preserve">Beneficiaries</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Remarks</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NAMP-SK-01 Deorali</w:t>
            </w:r>
          </w:p>
        </w:tc>
        <w:tc>
          <w:tcPr>
            <w:tcW w:type="dxa" w:w="1100"/>
            <w:tcMar>
              <w:top w:type="dxa" w:w="60"/>
              <w:left w:type="dxa" w:w="100"/>
              <w:bottom w:type="dxa" w:w="60"/>
              <w:right w:type="dxa" w:w="100"/>
            </w:tcMar>
            <w:vAlign w:val="center"/>
          </w:tcPr>
          <w:p>
            <w:pPr>
              <w:jc w:val="center"/>
            </w:pPr>
            <w:r>
              <w:rPr>
                <w:b w:val="false"/>
                <w:bCs w:val="false"/>
                <w:sz w:val="19"/>
                <w:szCs w:val="19"/>
              </w:rPr>
              <w:t xml:space="preserve">Gangtok</w:t>
            </w:r>
          </w:p>
        </w:tc>
        <w:tc>
          <w:tcPr>
            <w:tcW w:type="dxa" w:w="1300"/>
            <w:tcMar>
              <w:top w:type="dxa" w:w="60"/>
              <w:left w:type="dxa" w:w="100"/>
              <w:bottom w:type="dxa" w:w="60"/>
              <w:right w:type="dxa" w:w="100"/>
            </w:tcMar>
            <w:vAlign w:val="center"/>
          </w:tcPr>
          <w:p>
            <w:pPr>
              <w:jc w:val="center"/>
            </w:pPr>
            <w:r>
              <w:rPr>
                <w:b w:val="false"/>
                <w:bCs w:val="false"/>
                <w:sz w:val="19"/>
                <w:szCs w:val="19"/>
              </w:rPr>
              <w:t xml:space="preserve">Air Quality</w:t>
            </w:r>
          </w:p>
        </w:tc>
        <w:tc>
          <w:tcPr>
            <w:tcW w:type="dxa" w:w="1200"/>
            <w:tcMar>
              <w:top w:type="dxa" w:w="60"/>
              <w:left w:type="dxa" w:w="100"/>
              <w:bottom w:type="dxa" w:w="60"/>
              <w:right w:type="dxa" w:w="100"/>
            </w:tcMar>
            <w:vAlign w:val="center"/>
          </w:tcPr>
          <w:p>
            <w:pPr>
              <w:jc w:val="center"/>
            </w:pPr>
            <w:r>
              <w:rPr>
                <w:b w:val="false"/>
                <w:bCs w:val="false"/>
                <w:sz w:val="19"/>
                <w:szCs w:val="19"/>
              </w:rPr>
              <w:t xml:space="preserve">10-06-2026</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Normal</w:t>
            </w:r>
          </w:p>
        </w:tc>
        <w:tc>
          <w:tcPr>
            <w:tcW w:type="dxa" w:w="1100"/>
            <w:tcMar>
              <w:top w:type="dxa" w:w="60"/>
              <w:left w:type="dxa" w:w="100"/>
              <w:bottom w:type="dxa" w:w="60"/>
              <w:right w:type="dxa" w:w="100"/>
            </w:tcMar>
            <w:vAlign w:val="center"/>
          </w:tcPr>
          <w:p>
            <w:pPr>
              <w:jc w:val="center"/>
            </w:pPr>
            <w:r>
              <w:rPr>
                <w:b w:val="false"/>
                <w:bCs w:val="false"/>
                <w:sz w:val="19"/>
                <w:szCs w:val="19"/>
              </w:rPr>
              <w:t xml:space="preserve">N</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500"/>
            <w:tcMar>
              <w:top w:type="dxa" w:w="60"/>
              <w:left w:type="dxa" w:w="100"/>
              <w:bottom w:type="dxa" w:w="60"/>
              <w:right w:type="dxa" w:w="100"/>
            </w:tcMar>
            <w:vAlign w:val="center"/>
          </w:tcPr>
          <w:p>
            <w:pPr>
              <w:jc w:val="center"/>
            </w:pPr>
            <w:r>
              <w:rPr>
                <w:b w:val="false"/>
                <w:bCs w:val="false"/>
                <w:sz w:val="19"/>
                <w:szCs w:val="19"/>
              </w:rPr>
              <w:t xml:space="preserve">General Station</w:t>
            </w:r>
          </w:p>
        </w:tc>
      </w:tr>
      <w:tr>
        <w:tc>
          <w:tcPr>
            <w:tcW w:type="dxa" w:w="1700"/>
            <w:tcMar>
              <w:top w:type="dxa" w:w="60"/>
              <w:left w:type="dxa" w:w="100"/>
              <w:bottom w:type="dxa" w:w="60"/>
              <w:right w:type="dxa" w:w="100"/>
            </w:tcMar>
            <w:vAlign w:val="center"/>
          </w:tcPr>
          <w:p>
            <w:pPr>
              <w:jc w:val="left"/>
            </w:pPr>
            <w:r>
              <w:rPr>
                <w:b w:val="false"/>
                <w:bCs w:val="false"/>
                <w:sz w:val="19"/>
                <w:szCs w:val="19"/>
              </w:rPr>
              <w:t xml:space="preserve">NWMP-SK-01 Teesta</w:t>
            </w:r>
          </w:p>
        </w:tc>
        <w:tc>
          <w:tcPr>
            <w:tcW w:type="dxa" w:w="1100"/>
            <w:tcMar>
              <w:top w:type="dxa" w:w="60"/>
              <w:left w:type="dxa" w:w="100"/>
              <w:bottom w:type="dxa" w:w="60"/>
              <w:right w:type="dxa" w:w="100"/>
            </w:tcMar>
            <w:vAlign w:val="center"/>
          </w:tcPr>
          <w:p>
            <w:pPr>
              <w:jc w:val="center"/>
            </w:pPr>
            <w:r>
              <w:rPr>
                <w:b w:val="false"/>
                <w:bCs w:val="false"/>
                <w:sz w:val="19"/>
                <w:szCs w:val="19"/>
              </w:rPr>
              <w:t xml:space="preserve">Namchi</w:t>
            </w:r>
          </w:p>
        </w:tc>
        <w:tc>
          <w:tcPr>
            <w:tcW w:type="dxa" w:w="1300"/>
            <w:tcMar>
              <w:top w:type="dxa" w:w="60"/>
              <w:left w:type="dxa" w:w="100"/>
              <w:bottom w:type="dxa" w:w="60"/>
              <w:right w:type="dxa" w:w="100"/>
            </w:tcMar>
            <w:vAlign w:val="center"/>
          </w:tcPr>
          <w:p>
            <w:pPr>
              <w:jc w:val="center"/>
            </w:pPr>
            <w:r>
              <w:rPr>
                <w:b w:val="false"/>
                <w:bCs w:val="false"/>
                <w:sz w:val="19"/>
                <w:szCs w:val="19"/>
              </w:rPr>
              <w:t xml:space="preserve">Water Quality</w:t>
            </w:r>
          </w:p>
        </w:tc>
        <w:tc>
          <w:tcPr>
            <w:tcW w:type="dxa" w:w="1200"/>
            <w:tcMar>
              <w:top w:type="dxa" w:w="60"/>
              <w:left w:type="dxa" w:w="100"/>
              <w:bottom w:type="dxa" w:w="60"/>
              <w:right w:type="dxa" w:w="100"/>
            </w:tcMar>
            <w:vAlign w:val="center"/>
          </w:tcPr>
          <w:p>
            <w:pPr>
              <w:jc w:val="center"/>
            </w:pPr>
            <w:r>
              <w:rPr>
                <w:b w:val="false"/>
                <w:bCs w:val="false"/>
                <w:sz w:val="19"/>
                <w:szCs w:val="19"/>
              </w:rPr>
              <w:t xml:space="preserve">15-06-2026</w:t>
            </w:r>
          </w:p>
        </w:tc>
        <w:tc>
          <w:tcPr>
            <w:tcW w:type="dxa" w:w="1200"/>
            <w:tcMar>
              <w:top w:type="dxa" w:w="60"/>
              <w:left w:type="dxa" w:w="100"/>
              <w:bottom w:type="dxa" w:w="60"/>
              <w:right w:type="dxa" w:w="100"/>
            </w:tcMar>
            <w:vAlign w:val="center"/>
          </w:tcPr>
          <w:p>
            <w:pPr>
              <w:jc w:val="center"/>
            </w:pPr>
            <w:r>
              <w:rPr>
                <w:b w:val="false"/>
                <w:bCs w:val="false"/>
                <w:sz w:val="19"/>
                <w:szCs w:val="19"/>
              </w:rPr>
              <w:t xml:space="preserve">Normal</w:t>
            </w:r>
          </w:p>
        </w:tc>
        <w:tc>
          <w:tcPr>
            <w:tcW w:type="dxa" w:w="1100"/>
            <w:tcMar>
              <w:top w:type="dxa" w:w="60"/>
              <w:left w:type="dxa" w:w="100"/>
              <w:bottom w:type="dxa" w:w="60"/>
              <w:right w:type="dxa" w:w="100"/>
            </w:tcMar>
            <w:vAlign w:val="center"/>
          </w:tcPr>
          <w:p>
            <w:pPr>
              <w:jc w:val="center"/>
            </w:pPr>
            <w:r>
              <w:rPr>
                <w:b w:val="false"/>
                <w:bCs w:val="false"/>
                <w:sz w:val="19"/>
                <w:szCs w:val="19"/>
              </w:rPr>
              <w:t xml:space="preserve">N</w:t>
            </w:r>
          </w:p>
        </w:tc>
        <w:tc>
          <w:tcPr>
            <w:tcW w:type="dxa" w:w="1100"/>
            <w:tcMar>
              <w:top w:type="dxa" w:w="60"/>
              <w:left w:type="dxa" w:w="100"/>
              <w:bottom w:type="dxa" w:w="60"/>
              <w:right w:type="dxa" w:w="100"/>
            </w:tcMar>
            <w:vAlign w:val="center"/>
          </w:tcPr>
          <w:p>
            <w:pPr>
              <w:jc w:val="center"/>
            </w:pPr>
            <w:r>
              <w:rPr>
                <w:b w:val="false"/>
                <w:bCs w:val="false"/>
                <w:sz w:val="19"/>
                <w:szCs w:val="19"/>
              </w:rPr>
              <w:t xml:space="preserve">0</w:t>
            </w:r>
          </w:p>
        </w:tc>
        <w:tc>
          <w:tcPr>
            <w:tcW w:type="dxa" w:w="1500"/>
            <w:tcMar>
              <w:top w:type="dxa" w:w="60"/>
              <w:left w:type="dxa" w:w="100"/>
              <w:bottom w:type="dxa" w:w="60"/>
              <w:right w:type="dxa" w:w="100"/>
            </w:tcMar>
            <w:vAlign w:val="center"/>
          </w:tcPr>
          <w:p>
            <w:pPr>
              <w:jc w:val="center"/>
            </w:pPr>
            <w:r>
              <w:rPr>
                <w:b w:val="false"/>
                <w:bCs w:val="false"/>
                <w:sz w:val="19"/>
                <w:szCs w:val="19"/>
              </w:rPr>
              <w:t xml:space="preserve">General Station</w:t>
            </w:r>
          </w:p>
        </w:tc>
      </w:tr>
    </w:tbl>
    <w:p>
      <w:pPr>
        <w:pStyle w:val="Heading2"/>
        <w:spacing w:after="120" w:before="240"/>
      </w:pPr>
      <w:r>
        <w:t xml:space="preserve">Annexure G – Sheet 7: Awareness Programs (Full)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600"/>
        <w:gridCol w:w="1900"/>
        <w:gridCol w:w="1300"/>
      </w:tblGrid>
      <w:tr>
        <w:trPr>
          <w:tblHeader/>
        </w:trPr>
        <w:tc>
          <w:tcPr>
            <w:tcW w:type="dxa" w:w="2600"/>
            <w:shd w:fill="D9D9D9" w:val="clear"/>
            <w:tcMar>
              <w:top w:type="dxa" w:w="60"/>
              <w:left w:type="dxa" w:w="100"/>
              <w:bottom w:type="dxa" w:w="60"/>
              <w:right w:type="dxa" w:w="100"/>
            </w:tcMar>
            <w:vAlign w:val="center"/>
          </w:tcPr>
          <w:p>
            <w:pPr>
              <w:jc w:val="left"/>
            </w:pPr>
            <w:r>
              <w:rPr>
                <w:b/>
                <w:bCs/>
                <w:sz w:val="19"/>
                <w:szCs w:val="19"/>
              </w:rPr>
              <w:t xml:space="preserve">Program</w:t>
            </w:r>
          </w:p>
        </w:tc>
        <w:tc>
          <w:tcPr>
            <w:tcW w:type="dxa" w:w="1500"/>
            <w:shd w:fill="D9D9D9" w:val="clear"/>
            <w:tcMar>
              <w:top w:type="dxa" w:w="60"/>
              <w:left w:type="dxa" w:w="100"/>
              <w:bottom w:type="dxa" w:w="60"/>
              <w:right w:type="dxa" w:w="100"/>
            </w:tcMar>
            <w:vAlign w:val="center"/>
          </w:tcPr>
          <w:p>
            <w:pPr>
              <w:jc w:val="left"/>
            </w:pPr>
            <w:r>
              <w:rPr>
                <w:b/>
                <w:bCs/>
                <w:sz w:val="19"/>
                <w:szCs w:val="19"/>
              </w:rPr>
              <w:t xml:space="preserve">District</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Date</w:t>
            </w:r>
          </w:p>
        </w:tc>
        <w:tc>
          <w:tcPr>
            <w:tcW w:type="dxa" w:w="1600"/>
            <w:shd w:fill="D9D9D9" w:val="clear"/>
            <w:tcMar>
              <w:top w:type="dxa" w:w="60"/>
              <w:left w:type="dxa" w:w="100"/>
              <w:bottom w:type="dxa" w:w="60"/>
              <w:right w:type="dxa" w:w="100"/>
            </w:tcMar>
            <w:vAlign w:val="center"/>
          </w:tcPr>
          <w:p>
            <w:pPr>
              <w:jc w:val="left"/>
            </w:pPr>
            <w:r>
              <w:rPr>
                <w:b/>
                <w:bCs/>
                <w:sz w:val="19"/>
                <w:szCs w:val="19"/>
              </w:rPr>
              <w:t xml:space="preserve">Type</w:t>
            </w:r>
          </w:p>
        </w:tc>
        <w:tc>
          <w:tcPr>
            <w:tcW w:type="dxa" w:w="1900"/>
            <w:shd w:fill="D9D9D9" w:val="clear"/>
            <w:tcMar>
              <w:top w:type="dxa" w:w="60"/>
              <w:left w:type="dxa" w:w="100"/>
              <w:bottom w:type="dxa" w:w="60"/>
              <w:right w:type="dxa" w:w="100"/>
            </w:tcMar>
            <w:vAlign w:val="center"/>
          </w:tcPr>
          <w:p>
            <w:pPr>
              <w:jc w:val="left"/>
            </w:pPr>
            <w:r>
              <w:rPr>
                <w:b/>
                <w:bCs/>
                <w:sz w:val="19"/>
                <w:szCs w:val="19"/>
              </w:rPr>
              <w:t xml:space="preserve">Audience</w:t>
            </w:r>
          </w:p>
        </w:tc>
        <w:tc>
          <w:tcPr>
            <w:tcW w:type="dxa" w:w="1300"/>
            <w:shd w:fill="D9D9D9" w:val="clear"/>
            <w:tcMar>
              <w:top w:type="dxa" w:w="60"/>
              <w:left w:type="dxa" w:w="100"/>
              <w:bottom w:type="dxa" w:w="60"/>
              <w:right w:type="dxa" w:w="100"/>
            </w:tcMar>
            <w:vAlign w:val="center"/>
          </w:tcPr>
          <w:p>
            <w:pPr>
              <w:jc w:val="left"/>
            </w:pPr>
            <w:r>
              <w:rPr>
                <w:b/>
                <w:bCs/>
                <w:sz w:val="19"/>
                <w:szCs w:val="19"/>
              </w:rPr>
              <w:t xml:space="preserve">Participants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Clean Sikkim E-Waste Free</w:t>
            </w:r>
          </w:p>
        </w:tc>
        <w:tc>
          <w:tcPr>
            <w:tcW w:type="dxa" w:w="1500"/>
            <w:tcMar>
              <w:top w:type="dxa" w:w="60"/>
              <w:left w:type="dxa" w:w="100"/>
              <w:bottom w:type="dxa" w:w="60"/>
              <w:right w:type="dxa" w:w="100"/>
            </w:tcMar>
            <w:vAlign w:val="center"/>
          </w:tcPr>
          <w:p>
            <w:pPr>
              <w:jc w:val="center"/>
            </w:pPr>
            <w:r>
              <w:rPr>
                <w:b w:val="false"/>
                <w:bCs w:val="false"/>
                <w:sz w:val="19"/>
                <w:szCs w:val="19"/>
              </w:rPr>
              <w:t xml:space="preserve">Gangtok</w:t>
            </w:r>
          </w:p>
        </w:tc>
        <w:tc>
          <w:tcPr>
            <w:tcW w:type="dxa" w:w="1300"/>
            <w:tcMar>
              <w:top w:type="dxa" w:w="60"/>
              <w:left w:type="dxa" w:w="100"/>
              <w:bottom w:type="dxa" w:w="60"/>
              <w:right w:type="dxa" w:w="100"/>
            </w:tcMar>
            <w:vAlign w:val="center"/>
          </w:tcPr>
          <w:p>
            <w:pPr>
              <w:jc w:val="center"/>
            </w:pPr>
            <w:r>
              <w:rPr>
                <w:b w:val="false"/>
                <w:bCs w:val="false"/>
                <w:sz w:val="19"/>
                <w:szCs w:val="19"/>
              </w:rPr>
              <w:t xml:space="preserve">12-05-2026</w:t>
            </w:r>
          </w:p>
        </w:tc>
        <w:tc>
          <w:tcPr>
            <w:tcW w:type="dxa" w:w="1600"/>
            <w:tcMar>
              <w:top w:type="dxa" w:w="60"/>
              <w:left w:type="dxa" w:w="100"/>
              <w:bottom w:type="dxa" w:w="60"/>
              <w:right w:type="dxa" w:w="100"/>
            </w:tcMar>
            <w:vAlign w:val="center"/>
          </w:tcPr>
          <w:p>
            <w:pPr>
              <w:jc w:val="center"/>
            </w:pPr>
            <w:r>
              <w:rPr>
                <w:b w:val="false"/>
                <w:bCs w:val="false"/>
                <w:sz w:val="19"/>
                <w:szCs w:val="19"/>
              </w:rPr>
              <w:t xml:space="preserve">Workshop</w:t>
            </w:r>
          </w:p>
        </w:tc>
        <w:tc>
          <w:tcPr>
            <w:tcW w:type="dxa" w:w="1900"/>
            <w:tcMar>
              <w:top w:type="dxa" w:w="60"/>
              <w:left w:type="dxa" w:w="100"/>
              <w:bottom w:type="dxa" w:w="60"/>
              <w:right w:type="dxa" w:w="100"/>
            </w:tcMar>
            <w:vAlign w:val="center"/>
          </w:tcPr>
          <w:p>
            <w:pPr>
              <w:jc w:val="center"/>
            </w:pPr>
            <w:r>
              <w:rPr>
                <w:b w:val="false"/>
                <w:bCs w:val="false"/>
                <w:sz w:val="19"/>
                <w:szCs w:val="19"/>
              </w:rPr>
              <w:t xml:space="preserve">General Public</w:t>
            </w:r>
          </w:p>
        </w:tc>
        <w:tc>
          <w:tcPr>
            <w:tcW w:type="dxa" w:w="1300"/>
            <w:tcMar>
              <w:top w:type="dxa" w:w="60"/>
              <w:left w:type="dxa" w:w="100"/>
              <w:bottom w:type="dxa" w:w="60"/>
              <w:right w:type="dxa" w:w="100"/>
            </w:tcMar>
            <w:vAlign w:val="center"/>
          </w:tcPr>
          <w:p>
            <w:pPr>
              <w:jc w:val="center"/>
            </w:pPr>
            <w:r>
              <w:rPr>
                <w:b w:val="false"/>
                <w:bCs w:val="false"/>
                <w:sz w:val="19"/>
                <w:szCs w:val="19"/>
              </w:rPr>
              <w:t xml:space="preserve">5,000</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School E-Waste Drive</w:t>
            </w:r>
          </w:p>
        </w:tc>
        <w:tc>
          <w:tcPr>
            <w:tcW w:type="dxa" w:w="1500"/>
            <w:tcMar>
              <w:top w:type="dxa" w:w="60"/>
              <w:left w:type="dxa" w:w="100"/>
              <w:bottom w:type="dxa" w:w="60"/>
              <w:right w:type="dxa" w:w="100"/>
            </w:tcMar>
            <w:vAlign w:val="center"/>
          </w:tcPr>
          <w:p>
            <w:pPr>
              <w:jc w:val="center"/>
            </w:pPr>
            <w:r>
              <w:rPr>
                <w:b w:val="false"/>
                <w:bCs w:val="false"/>
                <w:sz w:val="19"/>
                <w:szCs w:val="19"/>
              </w:rPr>
              <w:t xml:space="preserve">Namchi</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20-05-2026</w:t>
            </w:r>
          </w:p>
        </w:tc>
        <w:tc>
          <w:tcPr>
            <w:tcW w:type="dxa" w:w="1600"/>
            <w:tcMar>
              <w:top w:type="dxa" w:w="60"/>
              <w:left w:type="dxa" w:w="100"/>
              <w:bottom w:type="dxa" w:w="60"/>
              <w:right w:type="dxa" w:w="100"/>
            </w:tcMar>
            <w:vAlign w:val="center"/>
          </w:tcPr>
          <w:p>
            <w:pPr>
              <w:jc w:val="center"/>
            </w:pPr>
            <w:r>
              <w:rPr>
                <w:b w:val="false"/>
                <w:bCs w:val="false"/>
                <w:sz w:val="19"/>
                <w:szCs w:val="19"/>
              </w:rPr>
              <w:t xml:space="preserve">Collection Drive</w:t>
            </w:r>
          </w:p>
        </w:tc>
        <w:tc>
          <w:tcPr>
            <w:tcW w:type="dxa" w:w="1900"/>
            <w:tcMar>
              <w:top w:type="dxa" w:w="60"/>
              <w:left w:type="dxa" w:w="100"/>
              <w:bottom w:type="dxa" w:w="60"/>
              <w:right w:type="dxa" w:w="100"/>
            </w:tcMar>
            <w:vAlign w:val="center"/>
          </w:tcPr>
          <w:p>
            <w:pPr>
              <w:jc w:val="center"/>
            </w:pPr>
            <w:r>
              <w:rPr>
                <w:b w:val="false"/>
                <w:bCs w:val="false"/>
                <w:sz w:val="19"/>
                <w:szCs w:val="19"/>
              </w:rPr>
              <w:t xml:space="preserve">Students</w:t>
            </w:r>
          </w:p>
        </w:tc>
        <w:tc>
          <w:tcPr>
            <w:tcW w:type="dxa" w:w="1300"/>
            <w:tcMar>
              <w:top w:type="dxa" w:w="60"/>
              <w:left w:type="dxa" w:w="100"/>
              <w:bottom w:type="dxa" w:w="60"/>
              <w:right w:type="dxa" w:w="100"/>
            </w:tcMar>
            <w:vAlign w:val="center"/>
          </w:tcPr>
          <w:p>
            <w:pPr>
              <w:jc w:val="center"/>
            </w:pPr>
            <w:r>
              <w:rPr>
                <w:b w:val="false"/>
                <w:bCs w:val="false"/>
                <w:sz w:val="19"/>
                <w:szCs w:val="19"/>
              </w:rPr>
              <w:t xml:space="preserve">2,400</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TOTAL</w:t>
            </w:r>
          </w:p>
        </w:tc>
        <w:tc>
          <w:tcPr>
            <w:tcW w:type="dxa" w:w="1500"/>
            <w:tcMar>
              <w:top w:type="dxa" w:w="60"/>
              <w:left w:type="dxa" w:w="100"/>
              <w:bottom w:type="dxa" w:w="60"/>
              <w:right w:type="dxa" w:w="100"/>
            </w:tcMar>
            <w:vAlign w:val="center"/>
          </w:tcPr>
          <w:p>
            <w:pPr>
              <w:jc w:val="center"/>
            </w:pPr>
            <w:r>
              <w:rPr>
                <w:b w:val="false"/>
                <w:bCs w:val="false"/>
                <w:sz w:val="19"/>
                <w:szCs w:val="19"/>
              </w:rPr>
              <w:t xml:space="preserve">—</w:t>
            </w:r>
          </w:p>
        </w:tc>
        <w:tc>
          <w:tcPr>
            <w:tcW w:type="dxa" w:w="1300"/>
            <w:tcMar>
              <w:top w:type="dxa" w:w="60"/>
              <w:left w:type="dxa" w:w="100"/>
              <w:bottom w:type="dxa" w:w="60"/>
              <w:right w:type="dxa" w:w="100"/>
            </w:tcMar>
            <w:vAlign w:val="center"/>
          </w:tcPr>
          <w:p>
            <w:pPr>
              <w:jc w:val="center"/>
            </w:pPr>
            <w:r>
              <w:rPr>
                <w:b w:val="false"/>
                <w:bCs w:val="false"/>
                <w:sz w:val="19"/>
                <w:szCs w:val="19"/>
              </w:rPr>
              <w:t xml:space="preserve">—</w:t>
            </w:r>
          </w:p>
        </w:tc>
        <w:tc>
          <w:tcPr>
            <w:tcW w:type="dxa" w:w="1600"/>
            <w:tcMar>
              <w:top w:type="dxa" w:w="60"/>
              <w:left w:type="dxa" w:w="100"/>
              <w:bottom w:type="dxa" w:w="60"/>
              <w:right w:type="dxa" w:w="100"/>
            </w:tcMar>
            <w:vAlign w:val="center"/>
          </w:tcPr>
          <w:p>
            <w:pPr>
              <w:jc w:val="center"/>
            </w:pPr>
            <w:r>
              <w:rPr>
                <w:b w:val="false"/>
                <w:bCs w:val="false"/>
                <w:sz w:val="19"/>
                <w:szCs w:val="19"/>
              </w:rPr>
              <w:t xml:space="preserve">—</w:t>
            </w:r>
          </w:p>
        </w:tc>
        <w:tc>
          <w:tcPr>
            <w:tcW w:type="dxa" w:w="1900"/>
            <w:tcMar>
              <w:top w:type="dxa" w:w="60"/>
              <w:left w:type="dxa" w:w="100"/>
              <w:bottom w:type="dxa" w:w="60"/>
              <w:right w:type="dxa" w:w="100"/>
            </w:tcMar>
            <w:vAlign w:val="center"/>
          </w:tcPr>
          <w:p>
            <w:pPr>
              <w:jc w:val="center"/>
            </w:pPr>
            <w:r>
              <w:rPr>
                <w:b w:val="false"/>
                <w:bCs w:val="false"/>
                <w:sz w:val="19"/>
                <w:szCs w:val="19"/>
              </w:rPr>
              <w:t xml:space="preserve">—</w:t>
            </w:r>
          </w:p>
        </w:tc>
        <w:tc>
          <w:tcPr>
            <w:tcW w:type="dxa" w:w="1300"/>
            <w:tcMar>
              <w:top w:type="dxa" w:w="60"/>
              <w:left w:type="dxa" w:w="100"/>
              <w:bottom w:type="dxa" w:w="60"/>
              <w:right w:type="dxa" w:w="100"/>
            </w:tcMar>
            <w:vAlign w:val="center"/>
          </w:tcPr>
          <w:p>
            <w:pPr>
              <w:jc w:val="center"/>
            </w:pPr>
            <w:r>
              <w:rPr>
                <w:b w:val="false"/>
                <w:bCs w:val="false"/>
                <w:sz w:val="19"/>
                <w:szCs w:val="19"/>
              </w:rPr>
              <w:t xml:space="preserve">7,400</w:t>
            </w:r>
          </w:p>
        </w:tc>
      </w:tr>
    </w:tbl>
    <w:p>
      <w:pPr>
        <w:pStyle w:val="Heading2"/>
        <w:spacing w:after="120" w:before="240"/>
      </w:pPr>
      <w:r>
        <w:t xml:space="preserve">Annexure H – Sheet 0: Scorecard Weights &amp; Benchmarks (as entered)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3300"/>
      </w:tblGrid>
      <w:tr>
        <w:trPr>
          <w:tblHeader/>
        </w:trPr>
        <w:tc>
          <w:tcPr>
            <w:tcW w:type="dxa" w:w="700"/>
            <w:shd w:fill="D9D9D9" w:val="clear"/>
            <w:tcMar>
              <w:top w:type="dxa" w:w="60"/>
              <w:left w:type="dxa" w:w="100"/>
              <w:bottom w:type="dxa" w:w="60"/>
              <w:right w:type="dxa" w:w="100"/>
            </w:tcMar>
            <w:vAlign w:val="center"/>
          </w:tcPr>
          <w:p>
            <w:pPr>
              <w:jc w:val="left"/>
            </w:pPr>
            <w:r>
              <w:rPr>
                <w:b/>
                <w:bCs/>
                <w:sz w:val="19"/>
                <w:szCs w:val="19"/>
              </w:rPr>
              <w:t xml:space="preserve">#</w:t>
            </w:r>
          </w:p>
        </w:tc>
        <w:tc>
          <w:tcPr>
            <w:tcW w:type="dxa" w:w="3600"/>
            <w:shd w:fill="D9D9D9" w:val="clear"/>
            <w:tcMar>
              <w:top w:type="dxa" w:w="60"/>
              <w:left w:type="dxa" w:w="100"/>
              <w:bottom w:type="dxa" w:w="60"/>
              <w:right w:type="dxa" w:w="100"/>
            </w:tcMar>
            <w:vAlign w:val="center"/>
          </w:tcPr>
          <w:p>
            <w:pPr>
              <w:jc w:val="left"/>
            </w:pPr>
            <w:r>
              <w:rPr>
                <w:b/>
                <w:bCs/>
                <w:sz w:val="19"/>
                <w:szCs w:val="19"/>
              </w:rPr>
              <w:t xml:space="preserve">Category</w:t>
            </w:r>
          </w:p>
        </w:tc>
        <w:tc>
          <w:tcPr>
            <w:tcW w:type="dxa" w:w="1400"/>
            <w:shd w:fill="D9D9D9" w:val="clear"/>
            <w:tcMar>
              <w:top w:type="dxa" w:w="60"/>
              <w:left w:type="dxa" w:w="100"/>
              <w:bottom w:type="dxa" w:w="60"/>
              <w:right w:type="dxa" w:w="100"/>
            </w:tcMar>
            <w:vAlign w:val="center"/>
          </w:tcPr>
          <w:p>
            <w:pPr>
              <w:jc w:val="left"/>
            </w:pPr>
            <w:r>
              <w:rPr>
                <w:b/>
                <w:bCs/>
                <w:sz w:val="19"/>
                <w:szCs w:val="19"/>
              </w:rPr>
              <w:t xml:space="preserve">Weight</w:t>
            </w:r>
          </w:p>
        </w:tc>
        <w:tc>
          <w:tcPr>
            <w:tcW w:type="dxa" w:w="3300"/>
            <w:shd w:fill="D9D9D9" w:val="clear"/>
            <w:tcMar>
              <w:top w:type="dxa" w:w="60"/>
              <w:left w:type="dxa" w:w="100"/>
              <w:bottom w:type="dxa" w:w="60"/>
              <w:right w:type="dxa" w:w="100"/>
            </w:tcMar>
            <w:vAlign w:val="center"/>
          </w:tcPr>
          <w:p>
            <w:pPr>
              <w:jc w:val="left"/>
            </w:pPr>
            <w:r>
              <w:rPr>
                <w:b/>
                <w:bCs/>
                <w:sz w:val="19"/>
                <w:szCs w:val="19"/>
              </w:rPr>
              <w:t xml:space="preserve">Benchmark/Target (as entered)</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1</w:t>
            </w:r>
          </w:p>
        </w:tc>
        <w:tc>
          <w:tcPr>
            <w:tcW w:type="dxa" w:w="3600"/>
            <w:tcMar>
              <w:top w:type="dxa" w:w="60"/>
              <w:left w:type="dxa" w:w="100"/>
              <w:bottom w:type="dxa" w:w="60"/>
              <w:right w:type="dxa" w:w="100"/>
            </w:tcMar>
            <w:vAlign w:val="center"/>
          </w:tcPr>
          <w:p>
            <w:pPr>
              <w:jc w:val="center"/>
            </w:pPr>
            <w:r>
              <w:rPr>
                <w:b w:val="false"/>
                <w:bCs w:val="false"/>
                <w:sz w:val="19"/>
                <w:szCs w:val="19"/>
              </w:rPr>
              <w:t xml:space="preserve">Generation &amp; Inventory</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15%</w:t>
            </w:r>
          </w:p>
        </w:tc>
        <w:tc>
          <w:tcPr>
            <w:tcW w:type="dxa" w:w="3300"/>
            <w:tcMar>
              <w:top w:type="dxa" w:w="60"/>
              <w:left w:type="dxa" w:w="100"/>
              <w:bottom w:type="dxa" w:w="60"/>
              <w:right w:type="dxa" w:w="100"/>
            </w:tcMar>
            <w:vAlign w:val="center"/>
          </w:tcPr>
          <w:p>
            <w:pPr>
              <w:jc w:val="center"/>
            </w:pPr>
            <w:r>
              <w:rPr>
                <w:b w:val="false"/>
                <w:bCs w:val="false"/>
                <w:sz w:val="19"/>
                <w:szCs w:val="19"/>
              </w:rPr>
              <w:t xml:space="preserve">5</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2</w:t>
            </w:r>
          </w:p>
        </w:tc>
        <w:tc>
          <w:tcPr>
            <w:tcW w:type="dxa" w:w="3600"/>
            <w:tcMar>
              <w:top w:type="dxa" w:w="60"/>
              <w:left w:type="dxa" w:w="100"/>
              <w:bottom w:type="dxa" w:w="60"/>
              <w:right w:type="dxa" w:w="100"/>
            </w:tcMar>
            <w:vAlign w:val="center"/>
          </w:tcPr>
          <w:p>
            <w:pPr>
              <w:jc w:val="center"/>
            </w:pPr>
            <w:r>
              <w:rPr>
                <w:b w:val="false"/>
                <w:bCs w:val="false"/>
                <w:sz w:val="19"/>
                <w:szCs w:val="19"/>
              </w:rPr>
              <w:t xml:space="preserve">Collection Performance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w:t>
            </w:r>
          </w:p>
        </w:tc>
        <w:tc>
          <w:tcPr>
            <w:tcW w:type="dxa" w:w="3300"/>
            <w:tcMar>
              <w:top w:type="dxa" w:w="60"/>
              <w:left w:type="dxa" w:w="100"/>
              <w:bottom w:type="dxa" w:w="60"/>
              <w:right w:type="dxa" w:w="100"/>
            </w:tcMar>
            <w:vAlign w:val="center"/>
          </w:tcPr>
          <w:p>
            <w:pPr>
              <w:jc w:val="center"/>
            </w:pPr>
            <w:r>
              <w:rPr>
                <w:b w:val="false"/>
                <w:bCs w:val="false"/>
                <w:sz w:val="19"/>
                <w:szCs w:val="19"/>
              </w:rPr>
              <w:t xml:space="preserve">1</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3</w:t>
            </w:r>
          </w:p>
        </w:tc>
        <w:tc>
          <w:tcPr>
            <w:tcW w:type="dxa" w:w="3600"/>
            <w:tcMar>
              <w:top w:type="dxa" w:w="60"/>
              <w:left w:type="dxa" w:w="100"/>
              <w:bottom w:type="dxa" w:w="60"/>
              <w:right w:type="dxa" w:w="100"/>
            </w:tcMar>
            <w:vAlign w:val="center"/>
          </w:tcPr>
          <w:p>
            <w:pPr>
              <w:jc w:val="center"/>
            </w:pPr>
            <w:r>
              <w:rPr>
                <w:b w:val="false"/>
                <w:bCs w:val="false"/>
                <w:sz w:val="19"/>
                <w:szCs w:val="19"/>
              </w:rPr>
              <w:t xml:space="preserve">Formal Recycling &amp; Treatment</w:t>
            </w:r>
          </w:p>
        </w:tc>
        <w:tc>
          <w:tcPr>
            <w:tcW w:type="dxa" w:w="1400"/>
            <w:tcMar>
              <w:top w:type="dxa" w:w="60"/>
              <w:left w:type="dxa" w:w="100"/>
              <w:bottom w:type="dxa" w:w="60"/>
              <w:right w:type="dxa" w:w="100"/>
            </w:tcMar>
            <w:vAlign w:val="center"/>
          </w:tcPr>
          <w:p>
            <w:pPr>
              <w:jc w:val="center"/>
            </w:pPr>
            <w:r>
              <w:rPr>
                <w:b w:val="false"/>
                <w:bCs w:val="false"/>
                <w:sz w:val="19"/>
                <w:szCs w:val="19"/>
              </w:rPr>
              <w:t xml:space="preserve">20%</w:t>
            </w:r>
          </w:p>
        </w:tc>
        <w:tc>
          <w:tcPr>
            <w:tcW w:type="dxa" w:w="3300"/>
            <w:tcMar>
              <w:top w:type="dxa" w:w="60"/>
              <w:left w:type="dxa" w:w="100"/>
              <w:bottom w:type="dxa" w:w="60"/>
              <w:right w:type="dxa" w:w="100"/>
            </w:tcMar>
            <w:vAlign w:val="center"/>
          </w:tcPr>
          <w:p>
            <w:pPr>
              <w:jc w:val="center"/>
            </w:pPr>
            <w:r>
              <w:rPr>
                <w:b w:val="false"/>
                <w:bCs w:val="false"/>
                <w:sz w:val="19"/>
                <w:szCs w:val="19"/>
              </w:rPr>
              <w:t xml:space="preserve">1</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4</w:t>
            </w:r>
          </w:p>
        </w:tc>
        <w:tc>
          <w:tcPr>
            <w:tcW w:type="dxa" w:w="3600"/>
            <w:tcMar>
              <w:top w:type="dxa" w:w="60"/>
              <w:left w:type="dxa" w:w="100"/>
              <w:bottom w:type="dxa" w:w="60"/>
              <w:right w:type="dxa" w:w="100"/>
            </w:tcMar>
            <w:vAlign w:val="center"/>
          </w:tcPr>
          <w:p>
            <w:pPr>
              <w:jc w:val="center"/>
            </w:pPr>
            <w:r>
              <w:rPr>
                <w:b w:val="false"/>
                <w:bCs w:val="false"/>
                <w:sz w:val="19"/>
                <w:szCs w:val="19"/>
              </w:rPr>
              <w:t xml:space="preserve">Regulatory Compliance</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15%</w:t>
            </w:r>
          </w:p>
        </w:tc>
        <w:tc>
          <w:tcPr>
            <w:tcW w:type="dxa" w:w="3300"/>
            <w:tcMar>
              <w:top w:type="dxa" w:w="60"/>
              <w:left w:type="dxa" w:w="100"/>
              <w:bottom w:type="dxa" w:w="60"/>
              <w:right w:type="dxa" w:w="100"/>
            </w:tcMar>
            <w:vAlign w:val="center"/>
          </w:tcPr>
          <w:p>
            <w:pPr>
              <w:jc w:val="center"/>
            </w:pPr>
            <w:r>
              <w:rPr>
                <w:b w:val="false"/>
                <w:bCs w:val="false"/>
                <w:sz w:val="19"/>
                <w:szCs w:val="19"/>
              </w:rPr>
              <w:t xml:space="preserve">1</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5</w:t>
            </w:r>
          </w:p>
        </w:tc>
        <w:tc>
          <w:tcPr>
            <w:tcW w:type="dxa" w:w="3600"/>
            <w:tcMar>
              <w:top w:type="dxa" w:w="60"/>
              <w:left w:type="dxa" w:w="100"/>
              <w:bottom w:type="dxa" w:w="60"/>
              <w:right w:type="dxa" w:w="100"/>
            </w:tcMar>
            <w:vAlign w:val="center"/>
          </w:tcPr>
          <w:p>
            <w:pPr>
              <w:jc w:val="center"/>
            </w:pPr>
            <w:r>
              <w:rPr>
                <w:b w:val="false"/>
                <w:bCs w:val="false"/>
                <w:sz w:val="19"/>
                <w:szCs w:val="19"/>
              </w:rPr>
              <w:t xml:space="preserve">Informal Sector Integration</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3300"/>
            <w:tcMar>
              <w:top w:type="dxa" w:w="60"/>
              <w:left w:type="dxa" w:w="100"/>
              <w:bottom w:type="dxa" w:w="60"/>
              <w:right w:type="dxa" w:w="100"/>
            </w:tcMar>
            <w:vAlign w:val="center"/>
          </w:tcPr>
          <w:p>
            <w:pPr>
              <w:jc w:val="center"/>
            </w:pPr>
            <w:r>
              <w:rPr>
                <w:b w:val="false"/>
                <w:bCs w:val="false"/>
                <w:sz w:val="19"/>
                <w:szCs w:val="19"/>
              </w:rPr>
              <w:t xml:space="preserve">1</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6</w:t>
            </w:r>
          </w:p>
        </w:tc>
        <w:tc>
          <w:tcPr>
            <w:tcW w:type="dxa" w:w="3600"/>
            <w:tcMar>
              <w:top w:type="dxa" w:w="60"/>
              <w:left w:type="dxa" w:w="100"/>
              <w:bottom w:type="dxa" w:w="60"/>
              <w:right w:type="dxa" w:w="100"/>
            </w:tcMar>
            <w:vAlign w:val="center"/>
          </w:tcPr>
          <w:p>
            <w:pPr>
              <w:jc w:val="center"/>
            </w:pPr>
            <w:r>
              <w:rPr>
                <w:b w:val="false"/>
                <w:bCs w:val="false"/>
                <w:sz w:val="19"/>
                <w:szCs w:val="19"/>
              </w:rPr>
              <w:t xml:space="preserve">Environmental &amp; Health Safeguards</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3300"/>
            <w:tcMar>
              <w:top w:type="dxa" w:w="60"/>
              <w:left w:type="dxa" w:w="100"/>
              <w:bottom w:type="dxa" w:w="60"/>
              <w:right w:type="dxa" w:w="100"/>
            </w:tcMar>
            <w:vAlign w:val="center"/>
          </w:tcPr>
          <w:p>
            <w:pPr>
              <w:jc w:val="center"/>
            </w:pPr>
            <w:r>
              <w:rPr>
                <w:b w:val="false"/>
                <w:bCs w:val="false"/>
                <w:sz w:val="19"/>
                <w:szCs w:val="19"/>
              </w:rPr>
              <w:t xml:space="preserve">1</w:t>
            </w:r>
          </w:p>
        </w:tc>
      </w:tr>
      <w:tr>
        <w:tc>
          <w:tcPr>
            <w:tcW w:type="dxa" w:w="700"/>
            <w:tcMar>
              <w:top w:type="dxa" w:w="60"/>
              <w:left w:type="dxa" w:w="100"/>
              <w:bottom w:type="dxa" w:w="60"/>
              <w:right w:type="dxa" w:w="100"/>
            </w:tcMar>
            <w:vAlign w:val="center"/>
          </w:tcPr>
          <w:p>
            <w:pPr>
              <w:jc w:val="left"/>
            </w:pPr>
            <w:r>
              <w:rPr>
                <w:b w:val="false"/>
                <w:bCs w:val="false"/>
                <w:sz w:val="19"/>
                <w:szCs w:val="19"/>
              </w:rPr>
              <w:t xml:space="preserve">7</w:t>
            </w:r>
          </w:p>
        </w:tc>
        <w:tc>
          <w:tcPr>
            <w:tcW w:type="dxa" w:w="3600"/>
            <w:tcMar>
              <w:top w:type="dxa" w:w="60"/>
              <w:left w:type="dxa" w:w="100"/>
              <w:bottom w:type="dxa" w:w="60"/>
              <w:right w:type="dxa" w:w="100"/>
            </w:tcMar>
            <w:vAlign w:val="center"/>
          </w:tcPr>
          <w:p>
            <w:pPr>
              <w:jc w:val="center"/>
            </w:pPr>
            <w:r>
              <w:rPr>
                <w:b w:val="false"/>
                <w:bCs w:val="false"/>
                <w:sz w:val="19"/>
                <w:szCs w:val="19"/>
              </w:rPr>
              <w:t xml:space="preserve">Awareness &amp; Outreach</w:t>
            </w:r>
          </w:p>
        </w:tc>
        <w:tc>
          <w:tcPr>
            <w:tcW w:type="dxa" w:w="1400"/>
            <w:tcMar>
              <w:top w:type="dxa" w:w="60"/>
              <w:left w:type="dxa" w:w="100"/>
              <w:bottom w:type="dxa" w:w="60"/>
              <w:right w:type="dxa" w:w="100"/>
            </w:tcMar>
            <w:vAlign w:val="center"/>
          </w:tcPr>
          <w:p>
            <w:pPr>
              <w:jc w:val="center"/>
            </w:pPr>
            <w:r>
              <w:rPr>
                <w:b w:val="false"/>
                <w:bCs w:val="false"/>
                <w:sz w:val="19"/>
                <w:szCs w:val="19"/>
              </w:rPr>
              <w:t xml:space="preserve">10%</w:t>
            </w:r>
          </w:p>
        </w:tc>
        <w:tc>
          <w:tcPr>
            <w:tcW w:type="dxa" w:w="3300"/>
            <w:tcMar>
              <w:top w:type="dxa" w:w="60"/>
              <w:left w:type="dxa" w:w="100"/>
              <w:bottom w:type="dxa" w:w="60"/>
              <w:right w:type="dxa" w:w="100"/>
            </w:tcMar>
            <w:vAlign w:val="center"/>
          </w:tcPr>
          <w:p>
            <w:pPr>
              <w:jc w:val="center"/>
            </w:pPr>
            <w:r>
              <w:rPr>
                <w:b w:val="false"/>
                <w:bCs w:val="false"/>
                <w:sz w:val="19"/>
                <w:szCs w:val="19"/>
              </w:rPr>
              <w:t xml:space="preserve">20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Sikkim State E-Waste Management Report – FY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4E79"/>
      <w:sz w:val="30"/>
      <w:szCs w:val="30"/>
    </w:rPr>
  </w:style>
  <w:style w:type="paragraph" w:styleId="Heading2">
    <w:name w:val="Heading 2"/>
    <w:basedOn w:val="Normal"/>
    <w:next w:val="Normal"/>
    <w:qFormat/>
    <w:pPr>
      <w:spacing w:after="120" w:before="240"/>
      <w:outlineLvl w:val="1"/>
    </w:pPr>
    <w:rPr>
      <w:b/>
      <w:bCs/>
      <w:color w:val="2E5F8A"/>
      <w:sz w:val="25"/>
      <w:szCs w:val="25"/>
    </w:rPr>
  </w:style>
  <w:style w:type="paragraph" w:styleId="Heading3">
    <w:name w:val="Heading 3"/>
    <w:basedOn w:val="Normal"/>
    <w:next w:val="Normal"/>
    <w:qFormat/>
    <w:pPr>
      <w:spacing w:after="100" w:before="200"/>
      <w:outlineLvl w:val="2"/>
    </w:pPr>
    <w:rPr>
      <w:b/>
      <w:bCs/>
      <w:i/>
      <w:iCs/>
      <w:color w:val="404040"/>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9CEB6263-44B7-43AF-BE05-7DA12BDCF615}"/>
</file>

<file path=customXml/itemProps2.xml><?xml version="1.0" encoding="utf-8"?>
<ds:datastoreItem xmlns:ds="http://schemas.openxmlformats.org/officeDocument/2006/customXml" ds:itemID="{88420CF1-604A-4F7E-BEF7-34D559E49422}"/>
</file>

<file path=customXml/itemProps3.xml><?xml version="1.0" encoding="utf-8"?>
<ds:datastoreItem xmlns:ds="http://schemas.openxmlformats.org/officeDocument/2006/customXml" ds:itemID="{083FBC8E-F102-4526-B65F-F6430AE51B5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2026-07-29T16:54:38Z</dcterms:created>
  <dcterms:modified xsi:type="dcterms:W3CDTF">2026-07-29T16:54:38Z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