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/>
        <w:ind w:firstLine="0"/>
        <w:jc w:val="center"/>
      </w:pPr>
      <w:r>
        <w:rPr>
          <w:b/>
        </w:rPr>
        <w:t>СОДЕРЖАНИЕ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Оглавление обновится при открытии в Word (если нет — правый клик → «Обновить поле»).</w:t>
      </w:r>
      <w:r>
        <w:fldChar w:fldCharType="end"/>
      </w:r>
    </w:p>
    <w:p>
      <w:pPr>
        <w:pStyle w:val="Heading1"/>
        <w:pageBreakBefore/>
        <w:ind w:firstLine="0"/>
        <w:jc w:val="center"/>
      </w:pPr>
      <w:r>
        <w:t>ВВЕДЕНИЕ</w:t>
      </w:r>
    </w:p>
    <w:p>
      <w:r>
        <w:t>Учёт заявок — типовая задача любой организации, которая принимает обращения от клиентов или сотрудников. Пока заявок немного, их ведут в таблицах, но с ростом потока такой учёт перестаёт справляться: заявки теряются, сроки нарушаются, а руководство не видит общей картины.</w:t>
      </w:r>
    </w:p>
    <w:p>
      <w:r>
        <w:t>Цель работы — разработать веб-приложение для учёта заявок, которое позволяет регистрировать обращения, назначать исполнителей и контролировать сроки. Для достижения цели решаются следующие задачи:</w:t>
      </w:r>
    </w:p>
    <w:p>
      <w:r>
        <w:t>— проанализировать предметную область и существующие решения;</w:t>
      </w:r>
    </w:p>
    <w:p>
      <w:r>
        <w:t>— спроектировать архитектуру приложения;</w:t>
      </w:r>
    </w:p>
    <w:p>
      <w:r>
        <w:t>— оценить нагрузку на систему.</w:t>
      </w:r>
    </w:p>
    <w:p>
      <w:r>
        <w:t>Терминология документооборота в работе используется в соответствии со словарём [1], правила оформления отчёта — по стандарту [2].</w:t>
      </w:r>
    </w:p>
    <w:p>
      <w:pPr>
        <w:pStyle w:val="Heading1"/>
        <w:pageBreakBefore/>
        <w:ind w:firstLine="709"/>
        <w:jc w:val="left"/>
      </w:pPr>
      <w:r>
        <w:t>1 Анализ предметной области</w:t>
      </w:r>
    </w:p>
    <w:p>
      <w:pPr>
        <w:pStyle w:val="Heading2"/>
        <w:pageBreakBefore w:val="0"/>
        <w:ind w:firstLine="709"/>
        <w:jc w:val="left"/>
      </w:pPr>
      <w:r>
        <w:t>1.1 Обзор существующих решений</w:t>
      </w:r>
    </w:p>
    <w:p>
      <w:r>
        <w:t>Системы учёта заявок различаются по назначению: одни ориентированы на службы поддержки, другие — на внутренние процессы организации. Общей для них является модель жизненного цикла заявки: регистрация, назначение исполнителя, выполнение и закрытие.</w:t>
      </w:r>
    </w:p>
    <w:p>
      <w:r>
        <w:t>Как показано на рисунке 1, разрабатываемая система состоит из трёх модулей: клиентской части, сервера приложений и базы данных.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7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line="240" w:lineRule="auto"/>
        <w:jc w:val="center"/>
      </w:pPr>
      <w:r>
        <w:t>Рисунок 1 — Архитектура системы учёта заявок</w:t>
      </w:r>
    </w:p>
    <w:p>
      <w:r>
        <w:t>Клиентская часть отвечает за ввод и просмотр заявок, сервер приложений — за бизнес-логику и права доступа, база данных — за хранение. Такое разделение упрощает сопровождение и масштабирование [3, с. 45].</w:t>
      </w:r>
    </w:p>
    <w:p>
      <w:r>
        <w:t>Сравнение рассмотренных решений приведено в таблице 1.</w:t>
      </w:r>
    </w:p>
    <w:p>
      <w:pPr>
        <w:pStyle w:val="Caption"/>
        <w:keepNext/>
        <w:spacing w:line="240" w:lineRule="auto"/>
        <w:jc w:val="left"/>
      </w:pPr>
      <w:r>
        <w:t>Таблица 1 — Сравнение систем учёта заявок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118"/>
          </w:tcPr>
          <w:p>
            <w:pPr>
              <w:pStyle w:val="GOSTTableText"/>
              <w:jc w:val="center"/>
            </w:pPr>
            <w:r>
              <w:t>Решение</w:t>
            </w:r>
          </w:p>
        </w:tc>
        <w:tc>
          <w:tcPr>
            <w:tcW w:type="dxa" w:w="3118"/>
          </w:tcPr>
          <w:p>
            <w:pPr>
              <w:pStyle w:val="GOSTTableText"/>
              <w:jc w:val="center"/>
            </w:pPr>
            <w:r>
              <w:t>Назначение</w:t>
            </w:r>
          </w:p>
        </w:tc>
        <w:tc>
          <w:tcPr>
            <w:tcW w:type="dxa" w:w="3118"/>
          </w:tcPr>
          <w:p>
            <w:pPr>
              <w:pStyle w:val="GOSTTableText"/>
              <w:jc w:val="center"/>
            </w:pPr>
            <w:r>
              <w:t>Стоимость, руб. в месяц</w:t>
            </w:r>
          </w:p>
        </w:tc>
      </w:tr>
      <w:tr>
        <w:tc>
          <w:tcPr>
            <w:tcW w:type="dxa" w:w="3118"/>
          </w:tcPr>
          <w:p>
            <w:pPr>
              <w:pStyle w:val="GOSTTableText"/>
            </w:pPr>
            <w:r>
              <w:t>Система А</w:t>
            </w:r>
          </w:p>
        </w:tc>
        <w:tc>
          <w:tcPr>
            <w:tcW w:type="dxa" w:w="3118"/>
          </w:tcPr>
          <w:p>
            <w:pPr>
              <w:pStyle w:val="GOSTTableText"/>
            </w:pPr>
            <w:r>
              <w:t>Служба поддержки</w:t>
            </w:r>
          </w:p>
        </w:tc>
        <w:tc>
          <w:tcPr>
            <w:tcW w:type="dxa" w:w="3118"/>
          </w:tcPr>
          <w:p>
            <w:pPr>
              <w:pStyle w:val="GOSTTableText"/>
            </w:pPr>
            <w:r>
              <w:t>5 000</w:t>
            </w:r>
          </w:p>
        </w:tc>
      </w:tr>
      <w:tr>
        <w:tc>
          <w:tcPr>
            <w:tcW w:type="dxa" w:w="3118"/>
          </w:tcPr>
          <w:p>
            <w:pPr>
              <w:pStyle w:val="GOSTTableText"/>
            </w:pPr>
            <w:r>
              <w:t>Система Б</w:t>
            </w:r>
          </w:p>
        </w:tc>
        <w:tc>
          <w:tcPr>
            <w:tcW w:type="dxa" w:w="3118"/>
          </w:tcPr>
          <w:p>
            <w:pPr>
              <w:pStyle w:val="GOSTTableText"/>
            </w:pPr>
            <w:r>
              <w:t>Внутренние процессы</w:t>
            </w:r>
          </w:p>
        </w:tc>
        <w:tc>
          <w:tcPr>
            <w:tcW w:type="dxa" w:w="3118"/>
          </w:tcPr>
          <w:p>
            <w:pPr>
              <w:pStyle w:val="GOSTTableText"/>
            </w:pPr>
            <w:r>
              <w:t>3 500</w:t>
            </w:r>
          </w:p>
        </w:tc>
      </w:tr>
      <w:tr>
        <w:tc>
          <w:tcPr>
            <w:tcW w:type="dxa" w:w="3118"/>
          </w:tcPr>
          <w:p>
            <w:pPr>
              <w:pStyle w:val="GOSTTableText"/>
            </w:pPr>
            <w:r>
              <w:t>Разрабатываемая система</w:t>
            </w:r>
          </w:p>
        </w:tc>
        <w:tc>
          <w:tcPr>
            <w:tcW w:type="dxa" w:w="3118"/>
          </w:tcPr>
          <w:p>
            <w:pPr>
              <w:pStyle w:val="GOSTTableText"/>
            </w:pPr>
            <w:r>
              <w:t>Внутренние процессы</w:t>
            </w:r>
          </w:p>
        </w:tc>
        <w:tc>
          <w:tcPr>
            <w:tcW w:type="dxa" w:w="3118"/>
          </w:tcPr>
          <w:p>
            <w:pPr>
              <w:pStyle w:val="GOSTTableText"/>
            </w:pPr>
            <w:r>
              <w:t>—</w:t>
            </w:r>
          </w:p>
        </w:tc>
      </w:tr>
    </w:tbl>
    <w:p>
      <w:pPr>
        <w:pStyle w:val="Heading2"/>
        <w:pageBreakBefore w:val="0"/>
        <w:ind w:firstLine="709"/>
        <w:jc w:val="left"/>
      </w:pPr>
      <w:r>
        <w:t>1.2 Требования к системе</w:t>
      </w:r>
    </w:p>
    <w:p>
      <w:r>
        <w:t>Требования к системе сформулированы с учётом нормативных документов [4] и опыта эксплуатации аналогов. Система должна обеспечивать:</w:t>
      </w:r>
    </w:p>
    <w:p>
      <w:r>
        <w:t>а) регистрацию заявок с обязательными полями;</w:t>
      </w:r>
    </w:p>
    <w:p>
      <w:r>
        <w:t>б) назначение исполнителя и контроль сроков;</w:t>
      </w:r>
    </w:p>
    <w:p>
      <w:r>
        <w:t>в) формирование отчётов для руководства.</w:t>
      </w:r>
    </w:p>
    <w:p>
      <w:pPr>
        <w:pStyle w:val="Heading1"/>
        <w:pageBreakBefore/>
        <w:ind w:firstLine="709"/>
        <w:jc w:val="left"/>
      </w:pPr>
      <w:r>
        <w:t>2 Проектирование системы</w:t>
      </w:r>
    </w:p>
    <w:p>
      <w:pPr>
        <w:pStyle w:val="Heading2"/>
        <w:pageBreakBefore w:val="0"/>
        <w:ind w:firstLine="709"/>
        <w:jc w:val="left"/>
      </w:pPr>
      <w:r>
        <w:t>2.1 Оценка нагрузки</w:t>
      </w:r>
    </w:p>
    <w:p>
      <w:r>
        <w:t>Среднее время ответа сервера оценивается по формуле (1):</w:t>
      </w:r>
    </w:p>
    <w:p>
      <w:pPr>
        <w:tabs>
          <w:tab w:pos="4677" w:val="center"/>
          <w:tab w:pos="9354" w:val="right"/>
        </w:tabs>
        <w:spacing w:before="420" w:after="420"/>
        <w:ind w:firstLine="0"/>
        <w:jc w:val="left"/>
      </w:pPr>
      <w:r>
        <w:tab/>
      </w:r>
      <m:oMath>
        <m:r>
          <m:t>T</m:t>
        </m:r>
        <m:r>
          <m:t>=</m:t>
        </m:r>
        <m:f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</m:naryPr>
          <m:sub>
            <m:r>
              <m:t>i</m:t>
            </m:r>
            <m: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</m:oMath>
      <w:r>
        <w:tab/>
        <w:t>(1)</w:t>
      </w:r>
    </w:p>
    <w:p>
      <w:r>
        <w:t>где T — среднее время ответа, с;</w:t>
      </w:r>
      <w:r>
        <w:br/>
      </w:r>
      <w:r>
        <w:t>N — число запросов за период наблюдения;</w:t>
      </w:r>
      <w:r>
        <w:br/>
      </w:r>
      <w:r>
        <w:t>tᵢ — время ответа на i-й запрос, с.</w:t>
      </w:r>
    </w:p>
    <w:p>
      <w:r>
        <w:t>Пропускная способность системы определяется отношением числа обработанных запросов ко времени наблюдения, а допустимая нагрузка — неравенством</w:t>
      </w:r>
    </w:p>
    <w:p>
      <w:pPr>
        <w:tabs>
          <w:tab w:pos="4677" w:val="center"/>
          <w:tab w:pos="9354" w:val="right"/>
        </w:tabs>
        <w:spacing w:before="420" w:after="420"/>
        <w:ind w:firstLine="0"/>
        <w:jc w:val="left"/>
      </w:pPr>
      <w:r>
        <w:tab/>
      </w:r>
      <m:oMath>
        <m:r>
          <m:t>λ</m:t>
        </m:r>
        <m:r>
          <m:t>≤</m:t>
        </m:r>
        <m:f>
          <m:num>
            <m:r>
              <m:t>μ</m:t>
            </m:r>
          </m:num>
          <m:den>
            <m:r>
              <m:t>1</m:t>
            </m:r>
            <m: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ab/>
        <w:t>(2)</w:t>
      </w:r>
    </w:p>
    <w:p>
      <w:r>
        <w:t>где λ — интенсивность поступления заявок, μ — интенсивность обслуживания, σ — коэффициент вариации времени обслуживания. Подход к анализу производительности сложных систем описан в обзоре [5].</w:t>
      </w:r>
    </w:p>
    <w:p>
      <w:pPr>
        <w:pStyle w:val="Heading2"/>
        <w:pageBreakBefore w:val="0"/>
        <w:ind w:firstLine="709"/>
        <w:jc w:val="left"/>
      </w:pPr>
      <w:r>
        <w:t>2.2 Выбор технологий</w:t>
      </w:r>
    </w:p>
    <w:p>
      <w:r>
        <w:t>При выборе технологий учитывались зрелость, наличие документации и стоимость владения. Справочные сведения о присвоении идентификаторов изданиям взяты с сайта Российской книжной палаты [6]. Исходный код модуля регистрации заявок приведён в приложении А.</w:t>
      </w:r>
    </w:p>
    <w:p>
      <w:pPr>
        <w:pStyle w:val="Heading1"/>
        <w:pageBreakBefore/>
        <w:ind w:firstLine="0"/>
        <w:jc w:val="center"/>
      </w:pPr>
      <w:r>
        <w:t>ЗАКЛЮЧЕНИЕ</w:t>
      </w:r>
    </w:p>
    <w:p>
      <w:r>
        <w:t>В работе проанализирована предметная область, спроектирована трёхзвенная архитектура приложения и получена оценка нагрузки по формуле (1). Разработанное решение позволяет вести учёт заявок без потери обращений и контролировать сроки их выполнения.</w:t>
      </w:r>
    </w:p>
    <w:p>
      <w:pPr>
        <w:pStyle w:val="Heading1"/>
        <w:pageBreakBefore/>
        <w:ind w:firstLine="0"/>
        <w:jc w:val="center"/>
      </w:pPr>
      <w:r>
        <w:t>СПИСОК ИСПОЛЬЗОВАННЫХ ИСТОЧНИКОВ</w:t>
      </w:r>
    </w:p>
    <w:p>
      <w:r>
        <w:t>1. Варламова, Л. Н. Управление документацией : англо-русский аннотированный словарь стандартизированной терминологии / Л. Н. Варламова, Л. С. Баюн, К. А. Бастрикова. – Москва : Спутник+, 2017. – 398 с. – ISBN 978-5-9973-4489-4. – Текст : непосредственный.</w:t>
      </w:r>
    </w:p>
    <w:p>
      <w:r>
        <w:t>2.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 : межгосударственный стандарт. – Москва : Стандартинформ, 2017. – 32 с. – Текст : непосредственный.</w:t>
      </w:r>
    </w:p>
    <w:p>
      <w:r>
        <w:t>3. Канке, В. А. Философия : учебник / В. А. Канке. – Москва : ИНФРА-М, 2019. – 291 с. – (Высшее образование: Бакалавриат). – Текст : непосредственный.</w:t>
      </w:r>
    </w:p>
    <w:p>
      <w:r>
        <w:t>4. Об образовании в Российской Федерации : Федеральный закон от 29.12.2012 № 273-ФЗ. – Текст : непосредственный // Собрание законодательства Российской Федерации. – 2012. – № 53, ч. 1. – Ст. 7598.</w:t>
      </w:r>
    </w:p>
    <w:p>
      <w:r>
        <w:t>5. Recent advances in convolutional neural networks / J. Gu, Z. Wang, J. Kuen [et al.]. – DOI 10.1016/j.patcog.2017.10.013. – Текст : непосредственный // Pattern Recognition. – 2018. – Vol. 77. – P. 354–377.</w:t>
      </w:r>
    </w:p>
    <w:p>
      <w:r>
        <w:t>6. Порядок присвоения номера ISBN. – Текст : электронный // Российская книжная палата : [сайт]. – 2018. – URL: http://bookchamber.ru/isbn.html (дата обращения: 22.05.2018).</w:t>
      </w:r>
    </w:p>
    <w:p>
      <w:pPr>
        <w:pStyle w:val="Heading1"/>
        <w:pageBreakBefore/>
        <w:ind w:firstLine="0"/>
        <w:jc w:val="center"/>
      </w:pPr>
      <w:r>
        <w:t>ПРИЛОЖЕНИЕ А</w:t>
      </w:r>
      <w:r>
        <w:br/>
      </w:r>
      <w:r>
        <w:t>Листинг модуля регистрации заявок</w:t>
      </w:r>
    </w:p>
    <w:p>
      <w:pPr>
        <w:pStyle w:val="GOSTCode"/>
      </w:pPr>
      <w:r>
        <w:t>def register(request):</w:t>
      </w:r>
    </w:p>
    <w:p>
      <w:pPr>
        <w:pStyle w:val="GOSTCode"/>
      </w:pPr>
      <w:r>
        <w:t xml:space="preserve">    ticket = Ticket(title=request.title, author=request.user)</w:t>
      </w:r>
    </w:p>
    <w:p>
      <w:pPr>
        <w:pStyle w:val="GOSTCode"/>
      </w:pPr>
      <w:r>
        <w:t xml:space="preserve">    ticket.deadline = calculate_deadline(ticket)</w:t>
      </w:r>
    </w:p>
    <w:p>
      <w:pPr>
        <w:pStyle w:val="GOSTCode"/>
      </w:pPr>
      <w:r>
        <w:t xml:space="preserve">    ticket.save()</w:t>
      </w:r>
    </w:p>
    <w:p>
      <w:pPr>
        <w:pStyle w:val="GOSTCode"/>
      </w:pPr>
      <w:r>
        <w:t xml:space="preserve">    return ticket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pacing w:after="0" w:line="240" w:lineRule="auto" w:before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0" w:line="360" w:lineRule="auto"/>
      <w:ind w:firstLine="709"/>
      <w:jc w:val="left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0" w:after="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0" w:after="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firstLine="0"/>
    </w:pPr>
    <w:rPr>
      <w:rFonts w:ascii="Times New Roman" w:hAnsi="Times New Roman" w:eastAsia="Times New Roman" w:cs="Times New Roman"/>
      <w:b w:val="0"/>
      <w:bCs/>
      <w:i w:val="0"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Text">
    <w:name w:val="GOST Table Text"/>
    <w:basedOn w:val="Normal"/>
    <w:pPr>
      <w:spacing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GOSTCode">
    <w:name w:val="GOST Code"/>
    <w:basedOn w:val="Normal"/>
    <w:pPr>
      <w:spacing w:line="240" w:lineRule="auto"/>
      <w:ind w:firstLine="0"/>
      <w:jc w:val="left"/>
    </w:pPr>
    <w:rPr>
      <w:rFonts w:ascii="Courier New" w:hAnsi="Courier New" w:eastAsia="Courier New" w:cs="Courier New"/>
      <w:b w:val="0"/>
      <w:i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веб-приложения для учёта заявок</dc:title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  <cp:lastPrinted>2000-01-01T00:00:00Z</cp:lastPrinted>
</cp:coreProperties>
</file>