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pPr>
      <w:r>
        <w:rPr>
          <w:rFonts w:ascii="Calibri" w:cs="Calibri" w:eastAsia="Calibri" w:hAnsi="Calibri"/>
          <w:b/>
          <w:bCs/>
          <w:color w:val="0F6E84"/>
          <w:sz w:val="22"/>
          <w:szCs w:val="22"/>
        </w:rPr>
        <w:t xml:space="preserve">SOUTHWIRE | ENTERPRISE STRATEGY</w:t>
      </w:r>
    </w:p>
    <w:p>
      <w:pPr>
        <w:spacing w:after="200"/>
      </w:pPr>
      <w:r>
        <w:rPr>
          <w:rFonts w:ascii="Calibri" w:cs="Calibri" w:eastAsia="Calibri" w:hAnsi="Calibri"/>
          <w:b/>
          <w:bCs/>
          <w:color w:val="1F3B57"/>
          <w:sz w:val="52"/>
          <w:szCs w:val="52"/>
        </w:rPr>
        <w:t xml:space="preserve">Power Generation as One Enterprise Growth System</w:t>
      </w:r>
    </w:p>
    <w:p>
      <w:pPr>
        <w:spacing w:after="1200"/>
      </w:pPr>
      <w:r>
        <w:rPr>
          <w:rFonts w:ascii="Calibri" w:cs="Calibri" w:eastAsia="Calibri" w:hAnsi="Calibri"/>
          <w:color w:val="5B6573"/>
          <w:sz w:val="26"/>
          <w:szCs w:val="26"/>
        </w:rPr>
        <w:t xml:space="preserve">Version 0 strategy document for the August 20, 2026 working session</w:t>
      </w:r>
    </w:p>
    <w:p>
      <w:pPr>
        <w:spacing w:after="80"/>
      </w:pPr>
      <w:r>
        <w:rPr>
          <w:rFonts w:ascii="Calibri" w:cs="Calibri" w:eastAsia="Calibri" w:hAnsi="Calibri"/>
          <w:color w:val="444444"/>
          <w:sz w:val="20"/>
          <w:szCs w:val="20"/>
        </w:rPr>
        <w:t xml:space="preserve">Prepared by: Stephan Hardt, Enterprise Strategy</w:t>
      </w:r>
    </w:p>
    <w:p>
      <w:pPr>
        <w:spacing w:after="80"/>
      </w:pPr>
      <w:r>
        <w:rPr>
          <w:rFonts w:ascii="Calibri" w:cs="Calibri" w:eastAsia="Calibri" w:hAnsi="Calibri"/>
          <w:color w:val="444444"/>
          <w:sz w:val="20"/>
          <w:szCs w:val="20"/>
        </w:rPr>
        <w:t xml:space="preserve">For: Mark Hall</w:t>
      </w:r>
    </w:p>
    <w:p>
      <w:pPr>
        <w:spacing w:after="80"/>
      </w:pPr>
      <w:r>
        <w:rPr>
          <w:rFonts w:ascii="Calibri" w:cs="Calibri" w:eastAsia="Calibri" w:hAnsi="Calibri"/>
          <w:color w:val="444444"/>
          <w:sz w:val="20"/>
          <w:szCs w:val="20"/>
        </w:rPr>
        <w:t xml:space="preserve">Status: Working draft for decision. Not a customer document. Not externally reviewed.</w:t>
      </w:r>
    </w:p>
    <w:p>
      <w:pPr>
        <w:spacing w:after="80"/>
      </w:pPr>
      <w:r>
        <w:rPr>
          <w:rFonts w:ascii="Calibri" w:cs="Calibri" w:eastAsia="Calibri" w:hAnsi="Calibri"/>
          <w:color w:val="444444"/>
          <w:sz w:val="20"/>
          <w:szCs w:val="20"/>
        </w:rPr>
        <w:t xml:space="preserve">Evidence basis: internal working session brief of August 20, 2026, and the eight-file evidence pack (files 00 to 07). No external market research has been conducted for this version; all quantitative claims are deliberately absent and marked TBD.</w:t>
      </w:r>
    </w:p>
    <w:p>
      <w:r>
        <w:br w:type="page"/>
      </w:r>
    </w:p>
    <w:p>
      <w:pPr>
        <w:pStyle w:val="Heading1"/>
        <w:spacing w:after="160" w:before="320"/>
      </w:pPr>
      <w:r>
        <w:rPr>
          <w:rFonts w:ascii="Calibri" w:cs="Calibri" w:eastAsia="Calibri" w:hAnsi="Calibri"/>
          <w:b/>
          <w:bCs/>
          <w:color w:val="1F3B57"/>
          <w:sz w:val="30"/>
          <w:szCs w:val="30"/>
        </w:rPr>
        <w:t xml:space="preserve">Executive summary</w:t>
      </w:r>
    </w:p>
    <w:p>
      <w:pPr>
        <w:spacing w:after="140" w:line="264"/>
      </w:pPr>
      <w:r>
        <w:rPr>
          <w:rFonts w:ascii="Calibri" w:cs="Calibri" w:eastAsia="Calibri" w:hAnsi="Calibri"/>
          <w:b/>
          <w:bCs/>
          <w:i w:val="false"/>
          <w:iCs w:val="false"/>
          <w:color w:val="222222"/>
          <w:sz w:val="21"/>
          <w:szCs w:val="21"/>
        </w:rPr>
        <w:t xml:space="preserve">Situation. </w:t>
      </w:r>
      <w:r>
        <w:rPr>
          <w:rFonts w:ascii="Calibri" w:cs="Calibri" w:eastAsia="Calibri" w:hAnsi="Calibri"/>
          <w:b w:val="false"/>
          <w:bCs w:val="false"/>
          <w:i w:val="false"/>
          <w:iCs w:val="false"/>
          <w:color w:val="222222"/>
          <w:sz w:val="21"/>
          <w:szCs w:val="21"/>
        </w:rPr>
        <w:t xml:space="preserve">Southwire holds established positions in Utility and Renewables and has been asked to take company-wide ownership of a Power Generation strategy. Real activity is underway across the enterprise: owner-level conversations with NRG and Southern Power, a targeted OEM program under quality control, and growth concepts in repower, prefabrication and nuclear.</w:t>
      </w:r>
    </w:p>
    <w:p>
      <w:pPr>
        <w:spacing w:after="140" w:line="264"/>
      </w:pPr>
      <w:r>
        <w:rPr>
          <w:rFonts w:ascii="Calibri" w:cs="Calibri" w:eastAsia="Calibri" w:hAnsi="Calibri"/>
          <w:b/>
          <w:bCs/>
          <w:i w:val="false"/>
          <w:iCs w:val="false"/>
          <w:color w:val="222222"/>
          <w:sz w:val="21"/>
          <w:szCs w:val="21"/>
        </w:rPr>
        <w:t xml:space="preserve">Complication. </w:t>
      </w:r>
      <w:r>
        <w:rPr>
          <w:rFonts w:ascii="Calibri" w:cs="Calibri" w:eastAsia="Calibri" w:hAnsi="Calibri"/>
          <w:b w:val="false"/>
          <w:bCs w:val="false"/>
          <w:i w:val="false"/>
          <w:iCs w:val="false"/>
          <w:color w:val="222222"/>
          <w:sz w:val="21"/>
          <w:szCs w:val="21"/>
        </w:rPr>
        <w:t xml:space="preserve">That activity is distributed across five businesses and multiple channels with no consolidated view, no shared stage definitions, no rules for who leads when an owner pursuit touches an account another business or channel already serves, and a proof inventory of exactly one unverified case. No account in the evidence base has progressed past the Engaged stage. The first enterprise-scale opportunity will force these gaps into the open on a live deal.</w:t>
      </w:r>
    </w:p>
    <w:p>
      <w:pPr>
        <w:spacing w:after="140" w:line="264"/>
      </w:pPr>
      <w:r>
        <w:rPr>
          <w:rFonts w:ascii="Calibri" w:cs="Calibri" w:eastAsia="Calibri" w:hAnsi="Calibri"/>
          <w:b/>
          <w:bCs/>
          <w:i w:val="false"/>
          <w:iCs w:val="false"/>
          <w:color w:val="222222"/>
          <w:sz w:val="21"/>
          <w:szCs w:val="21"/>
        </w:rPr>
        <w:t xml:space="preserve">Resolution. </w:t>
      </w:r>
      <w:r>
        <w:rPr>
          <w:rFonts w:ascii="Calibri" w:cs="Calibri" w:eastAsia="Calibri" w:hAnsi="Calibri"/>
          <w:b w:val="false"/>
          <w:bCs w:val="false"/>
          <w:i w:val="false"/>
          <w:iCs w:val="false"/>
          <w:color w:val="222222"/>
          <w:sz w:val="21"/>
          <w:szCs w:val="21"/>
        </w:rPr>
        <w:t xml:space="preserve">Operate Power Generation as a federated horizontal platform inside the current structure. A small PowerGen function owns the market thesis, portfolio priorities, one consolidated pipeline view, the executive customer narrative and cross-business pursuit orchestration. The businesses keep accounts, execution, pricing, manufacturing, channels and all booked revenue. Four plays receive resources now; quality gates precede volume everywhere; a two-quarter review decides whether the evidence justifies anything heavier. No reorganization is required to start, and none is proposed.</w:t>
      </w:r>
    </w:p>
    <w:p>
      <w:pPr>
        <w:spacing w:after="140" w:line="264"/>
      </w:pPr>
      <w:r>
        <w:rPr>
          <w:rFonts w:ascii="Calibri" w:cs="Calibri" w:eastAsia="Calibri" w:hAnsi="Calibri"/>
          <w:b w:val="false"/>
          <w:bCs w:val="false"/>
          <w:i w:val="false"/>
          <w:iCs w:val="false"/>
          <w:color w:val="222222"/>
          <w:sz w:val="21"/>
          <w:szCs w:val="21"/>
        </w:rPr>
        <w:t xml:space="preserve">The governing thought, in one sentence: Southwire wins Power Generation by entering projects before the bill of material is fixed and converting early influence into orchestrated, multi-business execution, so the platform that creates that early entry must be built before any structural change is even discussable.</w:t>
      </w:r>
    </w:p>
    <w:p>
      <w:pPr>
        <w:spacing w:after="100" w:before="200"/>
      </w:pPr>
      <w:r>
        <w:rPr>
          <w:rFonts w:ascii="Calibri" w:cs="Calibri" w:eastAsia="Calibri" w:hAnsi="Calibri"/>
          <w:b/>
          <w:bCs/>
          <w:color w:val="0F6E84"/>
          <w:sz w:val="20"/>
          <w:szCs w:val="20"/>
        </w:rPr>
        <w:t xml:space="preserve">Exhibit 1. </w:t>
      </w:r>
      <w:r>
        <w:rPr>
          <w:rFonts w:ascii="Calibri" w:cs="Calibri" w:eastAsia="Calibri" w:hAnsi="Calibri"/>
          <w:b/>
          <w:bCs/>
          <w:color w:val="222222"/>
          <w:sz w:val="20"/>
          <w:szCs w:val="20"/>
        </w:rPr>
        <w:t xml:space="preserve">The recommendation at a glance</w:t>
      </w:r>
    </w:p>
    <w:tbl>
      <w:tblPr>
        <w:tblW w:type="dxa" w:w="9360"/>
        <w:tblBorders>
          <w:top w:val="single" w:color="C9D2DB" w:sz="4"/>
          <w:left w:val="single" w:color="C9D2DB" w:sz="4"/>
          <w:bottom w:val="single" w:color="C9D2DB" w:sz="4"/>
          <w:right w:val="single" w:color="C9D2DB" w:sz="4"/>
          <w:insideH w:val="single" w:color="C9D2DB" w:sz="4"/>
          <w:insideV w:val="single" w:color="C9D2DB" w:sz="4"/>
        </w:tblBorders>
      </w:tblPr>
      <w:tblGrid>
        <w:gridCol w:w="1685"/>
        <w:gridCol w:w="4118"/>
        <w:gridCol w:w="3557"/>
      </w:tblGrid>
      <w:tr>
        <w:trPr>
          <w:tblHeader/>
        </w:trPr>
        <w:tc>
          <w:tcPr>
            <w:tcW w:type="dxa" w:w="1685"/>
            <w:shd w:fill="1F3B57" w:val="clear"/>
            <w:tcMar>
              <w:top w:type="dxa" w:w="60"/>
              <w:left w:type="dxa" w:w="90"/>
              <w:bottom w:type="dxa" w:w="60"/>
              <w:right w:type="dxa" w:w="90"/>
            </w:tcMar>
            <w:vAlign w:val="center"/>
          </w:tcPr>
          <w:p>
            <w:pPr>
              <w:spacing w:after="40" w:line="240"/>
            </w:pPr>
            <w:r>
              <w:rPr>
                <w:rFonts w:ascii="Calibri" w:cs="Calibri" w:eastAsia="Calibri" w:hAnsi="Calibri"/>
                <w:b/>
                <w:bCs/>
                <w:color w:val="FFFFFF"/>
                <w:sz w:val="18"/>
                <w:szCs w:val="18"/>
              </w:rPr>
              <w:t xml:space="preserve">Question</w:t>
            </w:r>
          </w:p>
        </w:tc>
        <w:tc>
          <w:tcPr>
            <w:tcW w:type="dxa" w:w="4118"/>
            <w:shd w:fill="1F3B57" w:val="clear"/>
            <w:tcMar>
              <w:top w:type="dxa" w:w="60"/>
              <w:left w:type="dxa" w:w="90"/>
              <w:bottom w:type="dxa" w:w="60"/>
              <w:right w:type="dxa" w:w="90"/>
            </w:tcMar>
            <w:vAlign w:val="center"/>
          </w:tcPr>
          <w:p>
            <w:pPr>
              <w:spacing w:after="40" w:line="240"/>
            </w:pPr>
            <w:r>
              <w:rPr>
                <w:rFonts w:ascii="Calibri" w:cs="Calibri" w:eastAsia="Calibri" w:hAnsi="Calibri"/>
                <w:b/>
                <w:bCs/>
                <w:color w:val="FFFFFF"/>
                <w:sz w:val="18"/>
                <w:szCs w:val="18"/>
              </w:rPr>
              <w:t xml:space="preserve">Recommendation</w:t>
            </w:r>
          </w:p>
        </w:tc>
        <w:tc>
          <w:tcPr>
            <w:tcW w:type="dxa" w:w="3557"/>
            <w:shd w:fill="1F3B57" w:val="clear"/>
            <w:tcMar>
              <w:top w:type="dxa" w:w="60"/>
              <w:left w:type="dxa" w:w="90"/>
              <w:bottom w:type="dxa" w:w="60"/>
              <w:right w:type="dxa" w:w="90"/>
            </w:tcMar>
            <w:vAlign w:val="center"/>
          </w:tcPr>
          <w:p>
            <w:pPr>
              <w:spacing w:after="40" w:line="240"/>
            </w:pPr>
            <w:r>
              <w:rPr>
                <w:rFonts w:ascii="Calibri" w:cs="Calibri" w:eastAsia="Calibri" w:hAnsi="Calibri"/>
                <w:b/>
                <w:bCs/>
                <w:color w:val="FFFFFF"/>
                <w:sz w:val="18"/>
                <w:szCs w:val="18"/>
              </w:rPr>
              <w:t xml:space="preserve">Basis</w:t>
            </w:r>
          </w:p>
        </w:tc>
      </w:tr>
      <w:tr>
        <w:tc>
          <w:tcPr>
            <w:tcW w:type="dxa" w:w="1685"/>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Operating model</w:t>
            </w:r>
          </w:p>
        </w:tc>
        <w:tc>
          <w:tcPr>
            <w:tcW w:type="dxa" w:w="4118"/>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Federated horizontal platform, two-quarter trial with named review point</w:t>
            </w:r>
          </w:p>
        </w:tc>
        <w:tc>
          <w:tcPr>
            <w:tcW w:type="dxa" w:w="3557"/>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Only model satisfying the mandate, the no-reorg constraint and retained execution ownership at once</w:t>
            </w:r>
          </w:p>
        </w:tc>
      </w:tr>
      <w:tr>
        <w:tc>
          <w:tcPr>
            <w:tcW w:type="dxa" w:w="1685"/>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Portfolio</w:t>
            </w:r>
          </w:p>
        </w:tc>
        <w:tc>
          <w:tcPr>
            <w:tcW w:type="dxa" w:w="4118"/>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Defend Utility and Renewables; accelerate IPP gas and EPC/OE specification; build OEM/modular behind quality gates; incubate nuclear</w:t>
            </w:r>
          </w:p>
        </w:tc>
        <w:tc>
          <w:tcPr>
            <w:tcW w:type="dxa" w:w="3557"/>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Brief hypothesis, stress-tested against the evidence pack scoring</w:t>
            </w:r>
          </w:p>
        </w:tc>
      </w:tr>
      <w:tr>
        <w:tc>
          <w:tcPr>
            <w:tcW w:type="dxa" w:w="1685"/>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Route to market</w:t>
            </w:r>
          </w:p>
        </w:tc>
        <w:tc>
          <w:tcPr>
            <w:tcW w:type="dxa" w:w="4118"/>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Owner engagement creates influence, not a transaction; supply flows through the customer’s existing route; route declared per pursuit at qualification</w:t>
            </w:r>
          </w:p>
        </w:tc>
        <w:tc>
          <w:tcPr>
            <w:tcW w:type="dxa" w:w="3557"/>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Adopted as policy to close the live channel-conflict exposure</w:t>
            </w:r>
          </w:p>
        </w:tc>
      </w:tr>
      <w:tr>
        <w:tc>
          <w:tcPr>
            <w:tcW w:type="dxa" w:w="1685"/>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Authority</w:t>
            </w:r>
          </w:p>
        </w:tc>
        <w:tc>
          <w:tcPr>
            <w:tcW w:type="dxa" w:w="4118"/>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PowerGen convenes, prioritizes and escalates; it does not own accounts, pricing, capacity or revenue</w:t>
            </w:r>
          </w:p>
        </w:tc>
        <w:tc>
          <w:tcPr>
            <w:tcW w:type="dxa" w:w="3557"/>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Preserves business and channel strengths; matches the working hypothesis under test</w:t>
            </w:r>
          </w:p>
        </w:tc>
      </w:tr>
      <w:tr>
        <w:tc>
          <w:tcPr>
            <w:tcW w:type="dxa" w:w="1685"/>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Measurement</w:t>
            </w:r>
          </w:p>
        </w:tc>
        <w:tc>
          <w:tcPr>
            <w:tcW w:type="dxa" w:w="4118"/>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Activity and quality measures for two quarters; revenue measures only after the baseline exists</w:t>
            </w:r>
          </w:p>
        </w:tc>
        <w:tc>
          <w:tcPr>
            <w:tcW w:type="dxa" w:w="3557"/>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No defensible numbers exist yet; inventing targets would violate the evidence standard</w:t>
            </w:r>
          </w:p>
        </w:tc>
      </w:tr>
    </w:tbl>
    <w:p>
      <w:r>
        <w:br w:type="page"/>
      </w:r>
    </w:p>
    <w:p>
      <w:pPr>
        <w:pStyle w:val="Heading1"/>
        <w:spacing w:after="160" w:before="320"/>
      </w:pPr>
      <w:r>
        <w:rPr>
          <w:rFonts w:ascii="Calibri" w:cs="Calibri" w:eastAsia="Calibri" w:hAnsi="Calibri"/>
          <w:b/>
          <w:bCs/>
          <w:color w:val="1F3B57"/>
          <w:sz w:val="30"/>
          <w:szCs w:val="30"/>
        </w:rPr>
        <w:t xml:space="preserve">1. Situation and mandate</w:t>
      </w:r>
    </w:p>
    <w:p>
      <w:pPr>
        <w:spacing w:after="140" w:line="264"/>
      </w:pPr>
      <w:r>
        <w:rPr>
          <w:rFonts w:ascii="Calibri" w:cs="Calibri" w:eastAsia="Calibri" w:hAnsi="Calibri"/>
          <w:b w:val="false"/>
          <w:bCs w:val="false"/>
          <w:i w:val="false"/>
          <w:iCs w:val="false"/>
          <w:color w:val="222222"/>
          <w:sz w:val="21"/>
          <w:szCs w:val="21"/>
        </w:rPr>
        <w:t xml:space="preserve">Southwire has been asked to take company-wide ownership of the Power Generation strategy. The mandate arrives at a moment when the market is being reshaped by time-to-power pressure on generation owners, and when Southwire’s own Power Generation activity spans Utility, Renewables, Data Center, Industrial/EPC, business development, OEM outreach, product teams, direct sales, agents and distribution.</w:t>
      </w:r>
    </w:p>
    <w:p>
      <w:pPr>
        <w:spacing w:after="140" w:line="264"/>
      </w:pPr>
      <w:r>
        <w:rPr>
          <w:rFonts w:ascii="Calibri" w:cs="Calibri" w:eastAsia="Calibri" w:hAnsi="Calibri"/>
          <w:b w:val="false"/>
          <w:bCs w:val="false"/>
          <w:i w:val="false"/>
          <w:iCs w:val="false"/>
          <w:color w:val="222222"/>
          <w:sz w:val="21"/>
          <w:szCs w:val="21"/>
        </w:rPr>
        <w:t xml:space="preserve">The strategic question is not whether Southwire participates in Power Generation. It already does. The question is how the company operates that participation as one growth system while preserving the responsibilities and strengths of the businesses and channels that hold today’s revenue.</w:t>
      </w:r>
    </w:p>
    <w:p>
      <w:pPr>
        <w:pStyle w:val="Heading2"/>
        <w:spacing w:after="120" w:before="240"/>
      </w:pPr>
      <w:r>
        <w:rPr>
          <w:rFonts w:ascii="Calibri" w:cs="Calibri" w:eastAsia="Calibri" w:hAnsi="Calibri"/>
          <w:b/>
          <w:bCs/>
          <w:color w:val="0F6E84"/>
          <w:sz w:val="24"/>
          <w:szCs w:val="24"/>
        </w:rPr>
        <w:t xml:space="preserve">What the mandate does not yet specify</w:t>
      </w:r>
    </w:p>
    <w:p>
      <w:pPr>
        <w:pStyle w:val="ListParagraph"/>
        <w:numPr>
          <w:ilvl w:val="0"/>
          <w:numId w:val="2"/>
        </w:numPr>
        <w:spacing w:after="80" w:line="264"/>
      </w:pPr>
      <w:r>
        <w:rPr>
          <w:rFonts w:ascii="Calibri" w:cs="Calibri" w:eastAsia="Calibri" w:hAnsi="Calibri"/>
          <w:b w:val="false"/>
          <w:bCs w:val="false"/>
          <w:i w:val="false"/>
          <w:iCs w:val="false"/>
          <w:color w:val="222222"/>
          <w:sz w:val="21"/>
          <w:szCs w:val="21"/>
        </w:rPr>
        <w:t xml:space="preserve">Who issued it, in what words, and who is the accountable owner. This is the first confirmation Thursday must produce.</w:t>
      </w:r>
    </w:p>
    <w:p>
      <w:pPr>
        <w:pStyle w:val="ListParagraph"/>
        <w:numPr>
          <w:ilvl w:val="0"/>
          <w:numId w:val="2"/>
        </w:numPr>
        <w:spacing w:after="80" w:line="264"/>
      </w:pPr>
      <w:r>
        <w:rPr>
          <w:rFonts w:ascii="Calibri" w:cs="Calibri" w:eastAsia="Calibri" w:hAnsi="Calibri"/>
          <w:b w:val="false"/>
          <w:bCs w:val="false"/>
          <w:i w:val="false"/>
          <w:iCs w:val="false"/>
          <w:color w:val="222222"/>
          <w:sz w:val="21"/>
          <w:szCs w:val="21"/>
        </w:rPr>
        <w:t xml:space="preserve">Its boundaries: where enterprise Power Generation ends and Utility, Data Center or Industrial scope begins.</w:t>
      </w:r>
    </w:p>
    <w:p>
      <w:pPr>
        <w:pStyle w:val="ListParagraph"/>
        <w:numPr>
          <w:ilvl w:val="0"/>
          <w:numId w:val="2"/>
        </w:numPr>
        <w:spacing w:after="80" w:line="264"/>
      </w:pPr>
      <w:r>
        <w:rPr>
          <w:rFonts w:ascii="Calibri" w:cs="Calibri" w:eastAsia="Calibri" w:hAnsi="Calibri"/>
          <w:b w:val="false"/>
          <w:bCs w:val="false"/>
          <w:i w:val="false"/>
          <w:iCs w:val="false"/>
          <w:color w:val="222222"/>
          <w:sz w:val="21"/>
          <w:szCs w:val="21"/>
        </w:rPr>
        <w:t xml:space="preserve">Its authority: what the owner of the strategy may decide alone, and what requires leadership.</w:t>
      </w:r>
    </w:p>
    <w:p>
      <w:pPr>
        <w:spacing w:after="140" w:line="264"/>
      </w:pPr>
      <w:r>
        <w:rPr>
          <w:rFonts w:ascii="Calibri" w:cs="Calibri" w:eastAsia="Calibri" w:hAnsi="Calibri"/>
          <w:b w:val="false"/>
          <w:bCs w:val="false"/>
          <w:i w:val="false"/>
          <w:iCs w:val="false"/>
          <w:color w:val="222222"/>
          <w:sz w:val="21"/>
          <w:szCs w:val="21"/>
        </w:rPr>
        <w:t xml:space="preserve">This document proposes answers to all three, as decisions to ratify rather than questions to debate.</w:t>
      </w:r>
    </w:p>
    <w:p>
      <w:pPr>
        <w:pStyle w:val="Heading1"/>
        <w:spacing w:after="160" w:before="320"/>
      </w:pPr>
      <w:r>
        <w:rPr>
          <w:rFonts w:ascii="Calibri" w:cs="Calibri" w:eastAsia="Calibri" w:hAnsi="Calibri"/>
          <w:b/>
          <w:bCs/>
          <w:color w:val="1F3B57"/>
          <w:sz w:val="30"/>
          <w:szCs w:val="30"/>
        </w:rPr>
        <w:t xml:space="preserve">2. Fact base and evidence discipline</w:t>
      </w:r>
    </w:p>
    <w:p>
      <w:pPr>
        <w:spacing w:after="140" w:line="264"/>
      </w:pPr>
      <w:r>
        <w:rPr>
          <w:rFonts w:ascii="Calibri" w:cs="Calibri" w:eastAsia="Calibri" w:hAnsi="Calibri"/>
          <w:b w:val="false"/>
          <w:bCs w:val="false"/>
          <w:i w:val="false"/>
          <w:iCs w:val="false"/>
          <w:color w:val="222222"/>
          <w:sz w:val="21"/>
          <w:szCs w:val="21"/>
        </w:rPr>
        <w:t xml:space="preserve">This version is built from a single internal source: the working session brief of August 20, 2026, supported by a full inspection of available files. The anticipated supporting materials, including IPP strategy reviews, OEM target matrices, customer presentations, pipeline extracts and prior strategy documents, are not in the available evidence base. That absence is itself the most important fact in this document.</w:t>
      </w:r>
    </w:p>
    <w:p>
      <w:pPr>
        <w:spacing w:after="140" w:line="264"/>
      </w:pPr>
      <w:r>
        <w:rPr>
          <w:rFonts w:ascii="Calibri" w:cs="Calibri" w:eastAsia="Calibri" w:hAnsi="Calibri"/>
          <w:b w:val="false"/>
          <w:bCs w:val="false"/>
          <w:i w:val="false"/>
          <w:iCs w:val="false"/>
          <w:color w:val="222222"/>
          <w:sz w:val="21"/>
          <w:szCs w:val="21"/>
        </w:rPr>
        <w:t xml:space="preserve">Three disciplines follow from it, and this document observes all three:</w:t>
      </w:r>
    </w:p>
    <w:p>
      <w:pPr>
        <w:pStyle w:val="ListParagraph"/>
        <w:numPr>
          <w:ilvl w:val="0"/>
          <w:numId w:val="3"/>
        </w:numPr>
        <w:spacing w:after="80" w:line="264"/>
      </w:pPr>
      <w:r>
        <w:rPr>
          <w:rFonts w:ascii="Calibri" w:cs="Calibri" w:eastAsia="Calibri" w:hAnsi="Calibri"/>
          <w:b/>
          <w:bCs/>
          <w:i w:val="false"/>
          <w:iCs w:val="false"/>
          <w:color w:val="222222"/>
          <w:sz w:val="21"/>
          <w:szCs w:val="21"/>
        </w:rPr>
        <w:t xml:space="preserve">No invented numbers. </w:t>
      </w:r>
      <w:r>
        <w:rPr>
          <w:rFonts w:ascii="Calibri" w:cs="Calibri" w:eastAsia="Calibri" w:hAnsi="Calibri"/>
          <w:b w:val="false"/>
          <w:bCs w:val="false"/>
          <w:i w:val="false"/>
          <w:iCs w:val="false"/>
          <w:color w:val="222222"/>
          <w:sz w:val="21"/>
          <w:szCs w:val="21"/>
        </w:rPr>
        <w:t xml:space="preserve">Market size, pipeline value, win probability, savings and account status appear only as TBD. Every future number will carry source, definition, period, inclusion rules, overlap treatment and confidence range.</w:t>
      </w:r>
    </w:p>
    <w:p>
      <w:pPr>
        <w:pStyle w:val="ListParagraph"/>
        <w:numPr>
          <w:ilvl w:val="0"/>
          <w:numId w:val="3"/>
        </w:numPr>
        <w:spacing w:after="80" w:line="264"/>
      </w:pPr>
      <w:r>
        <w:rPr>
          <w:rFonts w:ascii="Calibri" w:cs="Calibri" w:eastAsia="Calibri" w:hAnsi="Calibri"/>
          <w:b/>
          <w:bCs/>
          <w:i w:val="false"/>
          <w:iCs w:val="false"/>
          <w:color w:val="222222"/>
          <w:sz w:val="21"/>
          <w:szCs w:val="21"/>
        </w:rPr>
        <w:t xml:space="preserve">A strict stage ladder. </w:t>
      </w:r>
      <w:r>
        <w:rPr>
          <w:rFonts w:ascii="Calibri" w:cs="Calibri" w:eastAsia="Calibri" w:hAnsi="Calibri"/>
          <w:b w:val="false"/>
          <w:bCs w:val="false"/>
          <w:i w:val="false"/>
          <w:iCs w:val="false"/>
          <w:color w:val="222222"/>
          <w:sz w:val="21"/>
          <w:szCs w:val="21"/>
        </w:rPr>
        <w:t xml:space="preserve">Target, Contacted, Engaged, Qualified opportunity, RFP, Quoted, Awarded, Booked. A company on a target list is a target, nothing more. No account in the current evidence passes Engaged.</w:t>
      </w:r>
    </w:p>
    <w:p>
      <w:pPr>
        <w:pStyle w:val="ListParagraph"/>
        <w:numPr>
          <w:ilvl w:val="0"/>
          <w:numId w:val="3"/>
        </w:numPr>
        <w:spacing w:after="80" w:line="264"/>
      </w:pPr>
      <w:r>
        <w:rPr>
          <w:rFonts w:ascii="Calibri" w:cs="Calibri" w:eastAsia="Calibri" w:hAnsi="Calibri"/>
          <w:b/>
          <w:bCs/>
          <w:i w:val="false"/>
          <w:iCs w:val="false"/>
          <w:color w:val="222222"/>
          <w:sz w:val="21"/>
          <w:szCs w:val="21"/>
        </w:rPr>
        <w:t xml:space="preserve">Single-case honesty. </w:t>
      </w:r>
      <w:r>
        <w:rPr>
          <w:rFonts w:ascii="Calibri" w:cs="Calibri" w:eastAsia="Calibri" w:hAnsi="Calibri"/>
          <w:b w:val="false"/>
          <w:bCs w:val="false"/>
          <w:i w:val="false"/>
          <w:iCs w:val="false"/>
          <w:color w:val="222222"/>
          <w:sz w:val="21"/>
          <w:szCs w:val="21"/>
        </w:rPr>
        <w:t xml:space="preserve">The one documented outcome claim, a labor-hour result, is unverified and is quarantined from external use until verification closes. Any generalization from it is labeled a hypothesis.</w:t>
      </w:r>
    </w:p>
    <w:p>
      <w:pPr>
        <w:spacing w:after="100" w:before="200"/>
      </w:pPr>
      <w:r>
        <w:rPr>
          <w:rFonts w:ascii="Calibri" w:cs="Calibri" w:eastAsia="Calibri" w:hAnsi="Calibri"/>
          <w:b/>
          <w:bCs/>
          <w:color w:val="0F6E84"/>
          <w:sz w:val="20"/>
          <w:szCs w:val="20"/>
        </w:rPr>
        <w:t xml:space="preserve">Exhibit 2. </w:t>
      </w:r>
      <w:r>
        <w:rPr>
          <w:rFonts w:ascii="Calibri" w:cs="Calibri" w:eastAsia="Calibri" w:hAnsi="Calibri"/>
          <w:b/>
          <w:bCs/>
          <w:color w:val="222222"/>
          <w:sz w:val="20"/>
          <w:szCs w:val="20"/>
        </w:rPr>
        <w:t xml:space="preserve">Customer evidence, stated exactly</w:t>
      </w:r>
    </w:p>
    <w:tbl>
      <w:tblPr>
        <w:tblW w:type="dxa" w:w="9360"/>
        <w:tblBorders>
          <w:top w:val="single" w:color="C9D2DB" w:sz="4"/>
          <w:left w:val="single" w:color="C9D2DB" w:sz="4"/>
          <w:bottom w:val="single" w:color="C9D2DB" w:sz="4"/>
          <w:right w:val="single" w:color="C9D2DB" w:sz="4"/>
          <w:insideH w:val="single" w:color="C9D2DB" w:sz="4"/>
          <w:insideV w:val="single" w:color="C9D2DB" w:sz="4"/>
        </w:tblBorders>
      </w:tblPr>
      <w:tblGrid>
        <w:gridCol w:w="1498"/>
        <w:gridCol w:w="1685"/>
        <w:gridCol w:w="1872"/>
        <w:gridCol w:w="4306"/>
      </w:tblGrid>
      <w:tr>
        <w:trPr>
          <w:tblHeader/>
        </w:trPr>
        <w:tc>
          <w:tcPr>
            <w:tcW w:type="dxa" w:w="1498"/>
            <w:shd w:fill="1F3B57" w:val="clear"/>
            <w:tcMar>
              <w:top w:type="dxa" w:w="60"/>
              <w:left w:type="dxa" w:w="90"/>
              <w:bottom w:type="dxa" w:w="60"/>
              <w:right w:type="dxa" w:w="90"/>
            </w:tcMar>
            <w:vAlign w:val="center"/>
          </w:tcPr>
          <w:p>
            <w:pPr>
              <w:spacing w:after="40" w:line="240"/>
            </w:pPr>
            <w:r>
              <w:rPr>
                <w:rFonts w:ascii="Calibri" w:cs="Calibri" w:eastAsia="Calibri" w:hAnsi="Calibri"/>
                <w:b/>
                <w:bCs/>
                <w:color w:val="FFFFFF"/>
                <w:sz w:val="18"/>
                <w:szCs w:val="18"/>
              </w:rPr>
              <w:t xml:space="preserve">Counterparty</w:t>
            </w:r>
          </w:p>
        </w:tc>
        <w:tc>
          <w:tcPr>
            <w:tcW w:type="dxa" w:w="1685"/>
            <w:shd w:fill="1F3B57" w:val="clear"/>
            <w:tcMar>
              <w:top w:type="dxa" w:w="60"/>
              <w:left w:type="dxa" w:w="90"/>
              <w:bottom w:type="dxa" w:w="60"/>
              <w:right w:type="dxa" w:w="90"/>
            </w:tcMar>
            <w:vAlign w:val="center"/>
          </w:tcPr>
          <w:p>
            <w:pPr>
              <w:spacing w:after="40" w:line="240"/>
            </w:pPr>
            <w:r>
              <w:rPr>
                <w:rFonts w:ascii="Calibri" w:cs="Calibri" w:eastAsia="Calibri" w:hAnsi="Calibri"/>
                <w:b/>
                <w:bCs/>
                <w:color w:val="FFFFFF"/>
                <w:sz w:val="18"/>
                <w:szCs w:val="18"/>
              </w:rPr>
              <w:t xml:space="preserve">Lane</w:t>
            </w:r>
          </w:p>
        </w:tc>
        <w:tc>
          <w:tcPr>
            <w:tcW w:type="dxa" w:w="1872"/>
            <w:shd w:fill="1F3B57" w:val="clear"/>
            <w:tcMar>
              <w:top w:type="dxa" w:w="60"/>
              <w:left w:type="dxa" w:w="90"/>
              <w:bottom w:type="dxa" w:w="60"/>
              <w:right w:type="dxa" w:w="90"/>
            </w:tcMar>
            <w:vAlign w:val="center"/>
          </w:tcPr>
          <w:p>
            <w:pPr>
              <w:spacing w:after="40" w:line="240"/>
            </w:pPr>
            <w:r>
              <w:rPr>
                <w:rFonts w:ascii="Calibri" w:cs="Calibri" w:eastAsia="Calibri" w:hAnsi="Calibri"/>
                <w:b/>
                <w:bCs/>
                <w:color w:val="FFFFFF"/>
                <w:sz w:val="18"/>
                <w:szCs w:val="18"/>
              </w:rPr>
              <w:t xml:space="preserve">Stage on the ladder</w:t>
            </w:r>
          </w:p>
        </w:tc>
        <w:tc>
          <w:tcPr>
            <w:tcW w:type="dxa" w:w="4306"/>
            <w:shd w:fill="1F3B57" w:val="clear"/>
            <w:tcMar>
              <w:top w:type="dxa" w:w="60"/>
              <w:left w:type="dxa" w:w="90"/>
              <w:bottom w:type="dxa" w:w="60"/>
              <w:right w:type="dxa" w:w="90"/>
            </w:tcMar>
            <w:vAlign w:val="center"/>
          </w:tcPr>
          <w:p>
            <w:pPr>
              <w:spacing w:after="40" w:line="240"/>
            </w:pPr>
            <w:r>
              <w:rPr>
                <w:rFonts w:ascii="Calibri" w:cs="Calibri" w:eastAsia="Calibri" w:hAnsi="Calibri"/>
                <w:b/>
                <w:bCs/>
                <w:color w:val="FFFFFF"/>
                <w:sz w:val="18"/>
                <w:szCs w:val="18"/>
              </w:rPr>
              <w:t xml:space="preserve">What the evidence actually says</w:t>
            </w:r>
          </w:p>
        </w:tc>
      </w:tr>
      <w:tr>
        <w:tc>
          <w:tcPr>
            <w:tcW w:type="dxa" w:w="1498"/>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NRG</w:t>
            </w:r>
          </w:p>
        </w:tc>
        <w:tc>
          <w:tcPr>
            <w:tcW w:type="dxa" w:w="1685"/>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IPP conventional gas</w:t>
            </w:r>
          </w:p>
        </w:tc>
        <w:tc>
          <w:tcPr>
            <w:tcW w:type="dxa" w:w="1872"/>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Contacted, possibly Engaged</w:t>
            </w:r>
          </w:p>
        </w:tc>
        <w:tc>
          <w:tcPr>
            <w:tcW w:type="dxa" w:w="4306"/>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Outreach delivered; feedback pending. Standing instruction: separate relationship access from proposition resonance and tighten the Southwire role and route language.</w:t>
            </w:r>
          </w:p>
        </w:tc>
      </w:tr>
      <w:tr>
        <w:tc>
          <w:tcPr>
            <w:tcW w:type="dxa" w:w="1498"/>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Southern Power</w:t>
            </w:r>
          </w:p>
        </w:tc>
        <w:tc>
          <w:tcPr>
            <w:tcW w:type="dxa" w:w="1685"/>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IPP conventional gas</w:t>
            </w:r>
          </w:p>
        </w:tc>
        <w:tc>
          <w:tcPr>
            <w:tcW w:type="dxa" w:w="1872"/>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Relationship; discovery pending</w:t>
            </w:r>
          </w:p>
        </w:tc>
        <w:tc>
          <w:tcPr>
            <w:tcW w:type="dxa" w:w="4306"/>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Catch-up to be scheduled and used as a discovery and market-validation conversation.</w:t>
            </w:r>
          </w:p>
        </w:tc>
      </w:tr>
      <w:tr>
        <w:tc>
          <w:tcPr>
            <w:tcW w:type="dxa" w:w="1498"/>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CPV</w:t>
            </w:r>
          </w:p>
        </w:tc>
        <w:tc>
          <w:tcPr>
            <w:tcW w:type="dxa" w:w="1685"/>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IPP conventional gas</w:t>
            </w:r>
          </w:p>
        </w:tc>
        <w:tc>
          <w:tcPr>
            <w:tcW w:type="dxa" w:w="1872"/>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Target</w:t>
            </w:r>
          </w:p>
        </w:tc>
        <w:tc>
          <w:tcPr>
            <w:tcW w:type="dxa" w:w="4306"/>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Named once as a discovery candidate. No contact evidenced.</w:t>
            </w:r>
          </w:p>
        </w:tc>
      </w:tr>
      <w:tr>
        <w:tc>
          <w:tcPr>
            <w:tcW w:type="dxa" w:w="1498"/>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OEM target set</w:t>
            </w:r>
          </w:p>
        </w:tc>
        <w:tc>
          <w:tcPr>
            <w:tcW w:type="dxa" w:w="1685"/>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OEM / modular</w:t>
            </w:r>
          </w:p>
        </w:tc>
        <w:tc>
          <w:tcPr>
            <w:tcW w:type="dxa" w:w="1872"/>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Targets; outreach paused</w:t>
            </w:r>
          </w:p>
        </w:tc>
        <w:tc>
          <w:tcPr>
            <w:tcW w:type="dxa" w:w="4306"/>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Consolidated target map still closing; outbound message corrected; all outreach gated pending consistent quality.</w:t>
            </w:r>
          </w:p>
        </w:tc>
      </w:tr>
      <w:tr>
        <w:tc>
          <w:tcPr>
            <w:tcW w:type="dxa" w:w="1498"/>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Labor-hour case</w:t>
            </w:r>
          </w:p>
        </w:tc>
        <w:tc>
          <w:tcPr>
            <w:tcW w:type="dxa" w:w="1685"/>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Prefabrication proof</w:t>
            </w:r>
          </w:p>
        </w:tc>
        <w:tc>
          <w:tcPr>
            <w:tcW w:type="dxa" w:w="1872"/>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Unverified single case</w:t>
            </w:r>
          </w:p>
        </w:tc>
        <w:tc>
          <w:tcPr>
            <w:tcW w:type="dxa" w:w="4306"/>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Baseline, result, scope and Southwire contribution all require verification before any external reuse.</w:t>
            </w:r>
          </w:p>
        </w:tc>
      </w:tr>
    </w:tbl>
    <w:p>
      <w:pPr>
        <w:pStyle w:val="Heading1"/>
        <w:spacing w:after="160" w:before="320"/>
      </w:pPr>
      <w:r>
        <w:rPr>
          <w:rFonts w:ascii="Calibri" w:cs="Calibri" w:eastAsia="Calibri" w:hAnsi="Calibri"/>
          <w:b/>
          <w:bCs/>
          <w:color w:val="1F3B57"/>
          <w:sz w:val="30"/>
          <w:szCs w:val="30"/>
        </w:rPr>
        <w:t xml:space="preserve">3. Market architecture</w:t>
      </w:r>
    </w:p>
    <w:p>
      <w:pPr>
        <w:spacing w:after="140" w:line="264"/>
      </w:pPr>
      <w:r>
        <w:rPr>
          <w:rFonts w:ascii="Calibri" w:cs="Calibri" w:eastAsia="Calibri" w:hAnsi="Calibri"/>
          <w:b w:val="false"/>
          <w:bCs w:val="false"/>
          <w:i w:val="false"/>
          <w:iCs w:val="false"/>
          <w:color w:val="222222"/>
          <w:sz w:val="21"/>
          <w:szCs w:val="21"/>
        </w:rPr>
        <w:t xml:space="preserve">The Power Generation market cannot be forced into one flat list without double counting. The architecture holds five dimensions apart, and every pursuit is classified on all five before it enters the pipeline:</w:t>
      </w:r>
    </w:p>
    <w:p>
      <w:pPr>
        <w:pStyle w:val="ListParagraph"/>
        <w:numPr>
          <w:ilvl w:val="0"/>
          <w:numId w:val="3"/>
        </w:numPr>
        <w:spacing w:after="80" w:line="264"/>
      </w:pPr>
      <w:r>
        <w:rPr>
          <w:rFonts w:ascii="Calibri" w:cs="Calibri" w:eastAsia="Calibri" w:hAnsi="Calibri"/>
          <w:b/>
          <w:bCs/>
          <w:i w:val="false"/>
          <w:iCs w:val="false"/>
          <w:color w:val="222222"/>
          <w:sz w:val="21"/>
          <w:szCs w:val="21"/>
        </w:rPr>
        <w:t xml:space="preserve">Market arenas. </w:t>
      </w:r>
      <w:r>
        <w:rPr>
          <w:rFonts w:ascii="Calibri" w:cs="Calibri" w:eastAsia="Calibri" w:hAnsi="Calibri"/>
          <w:b w:val="false"/>
          <w:bCs w:val="false"/>
          <w:i w:val="false"/>
          <w:iCs w:val="false"/>
          <w:color w:val="222222"/>
          <w:sz w:val="21"/>
          <w:szCs w:val="21"/>
        </w:rPr>
        <w:t xml:space="preserve">Conventional thermal; renewables and storage; nuclear.</w:t>
      </w:r>
    </w:p>
    <w:p>
      <w:pPr>
        <w:pStyle w:val="ListParagraph"/>
        <w:numPr>
          <w:ilvl w:val="0"/>
          <w:numId w:val="3"/>
        </w:numPr>
        <w:spacing w:after="80" w:line="264"/>
      </w:pPr>
      <w:r>
        <w:rPr>
          <w:rFonts w:ascii="Calibri" w:cs="Calibri" w:eastAsia="Calibri" w:hAnsi="Calibri"/>
          <w:b/>
          <w:bCs/>
          <w:i w:val="false"/>
          <w:iCs w:val="false"/>
          <w:color w:val="222222"/>
          <w:sz w:val="21"/>
          <w:szCs w:val="21"/>
        </w:rPr>
        <w:t xml:space="preserve">Asset lifecycle. </w:t>
      </w:r>
      <w:r>
        <w:rPr>
          <w:rFonts w:ascii="Calibri" w:cs="Calibri" w:eastAsia="Calibri" w:hAnsi="Calibri"/>
          <w:b w:val="false"/>
          <w:bCs w:val="false"/>
          <w:i w:val="false"/>
          <w:iCs w:val="false"/>
          <w:color w:val="222222"/>
          <w:sz w:val="21"/>
          <w:szCs w:val="21"/>
        </w:rPr>
        <w:t xml:space="preserve">Greenfield; expansion, repower and uprate; brownfield sustainment, replacement and retrofit.</w:t>
      </w:r>
    </w:p>
    <w:p>
      <w:pPr>
        <w:pStyle w:val="ListParagraph"/>
        <w:numPr>
          <w:ilvl w:val="0"/>
          <w:numId w:val="3"/>
        </w:numPr>
        <w:spacing w:after="80" w:line="264"/>
      </w:pPr>
      <w:r>
        <w:rPr>
          <w:rFonts w:ascii="Calibri" w:cs="Calibri" w:eastAsia="Calibri" w:hAnsi="Calibri"/>
          <w:b/>
          <w:bCs/>
          <w:i w:val="false"/>
          <w:iCs w:val="false"/>
          <w:color w:val="222222"/>
          <w:sz w:val="21"/>
          <w:szCs w:val="21"/>
        </w:rPr>
        <w:t xml:space="preserve">Owner economics. </w:t>
      </w:r>
      <w:r>
        <w:rPr>
          <w:rFonts w:ascii="Calibri" w:cs="Calibri" w:eastAsia="Calibri" w:hAnsi="Calibri"/>
          <w:b w:val="false"/>
          <w:bCs w:val="false"/>
          <w:i w:val="false"/>
          <w:iCs w:val="false"/>
          <w:color w:val="222222"/>
          <w:sz w:val="21"/>
          <w:szCs w:val="21"/>
        </w:rPr>
        <w:t xml:space="preserve">Regulated utility; IPP or merchant owner; industrial or behind-the-meter owner.</w:t>
      </w:r>
    </w:p>
    <w:p>
      <w:pPr>
        <w:pStyle w:val="ListParagraph"/>
        <w:numPr>
          <w:ilvl w:val="0"/>
          <w:numId w:val="3"/>
        </w:numPr>
        <w:spacing w:after="80" w:line="264"/>
      </w:pPr>
      <w:r>
        <w:rPr>
          <w:rFonts w:ascii="Calibri" w:cs="Calibri" w:eastAsia="Calibri" w:hAnsi="Calibri"/>
          <w:b/>
          <w:bCs/>
          <w:i w:val="false"/>
          <w:iCs w:val="false"/>
          <w:color w:val="222222"/>
          <w:sz w:val="21"/>
          <w:szCs w:val="21"/>
        </w:rPr>
        <w:t xml:space="preserve">Commercial control points. </w:t>
      </w:r>
      <w:r>
        <w:rPr>
          <w:rFonts w:ascii="Calibri" w:cs="Calibri" w:eastAsia="Calibri" w:hAnsi="Calibri"/>
          <w:b w:val="false"/>
          <w:bCs w:val="false"/>
          <w:i w:val="false"/>
          <w:iCs w:val="false"/>
          <w:color w:val="222222"/>
          <w:sz w:val="21"/>
          <w:szCs w:val="21"/>
        </w:rPr>
        <w:t xml:space="preserve">Owner or developer; engineer or EPC; OEM or modular integrator; electrical contractor or prefab shop; distributor or agent.</w:t>
      </w:r>
    </w:p>
    <w:p>
      <w:pPr>
        <w:pStyle w:val="ListParagraph"/>
        <w:numPr>
          <w:ilvl w:val="0"/>
          <w:numId w:val="3"/>
        </w:numPr>
        <w:spacing w:after="80" w:line="264"/>
      </w:pPr>
      <w:r>
        <w:rPr>
          <w:rFonts w:ascii="Calibri" w:cs="Calibri" w:eastAsia="Calibri" w:hAnsi="Calibri"/>
          <w:b/>
          <w:bCs/>
          <w:i w:val="false"/>
          <w:iCs w:val="false"/>
          <w:color w:val="222222"/>
          <w:sz w:val="21"/>
          <w:szCs w:val="21"/>
        </w:rPr>
        <w:t xml:space="preserve">Delivery model. </w:t>
      </w:r>
      <w:r>
        <w:rPr>
          <w:rFonts w:ascii="Calibri" w:cs="Calibri" w:eastAsia="Calibri" w:hAnsi="Calibri"/>
          <w:b w:val="false"/>
          <w:bCs w:val="false"/>
          <w:i w:val="false"/>
          <w:iCs w:val="false"/>
          <w:color w:val="222222"/>
          <w:sz w:val="21"/>
          <w:szCs w:val="21"/>
        </w:rPr>
        <w:t xml:space="preserve">Site-built; factory-assembled or prefabricated; packaged or modular.</w:t>
      </w:r>
    </w:p>
    <w:p>
      <w:pPr>
        <w:spacing w:after="140" w:line="264"/>
      </w:pPr>
      <w:r>
        <w:rPr>
          <w:rFonts w:ascii="Calibri" w:cs="Calibri" w:eastAsia="Calibri" w:hAnsi="Calibri"/>
          <w:b w:val="false"/>
          <w:bCs w:val="false"/>
          <w:i w:val="false"/>
          <w:iCs w:val="false"/>
          <w:color w:val="222222"/>
          <w:sz w:val="21"/>
          <w:szCs w:val="21"/>
        </w:rPr>
        <w:t xml:space="preserve">Proposed scope boundary: inside are generation projects and operating fleets across the three arenas and the full lifecycle, for all three owner types, including interconnection scope tied to a generation asset. Outside are transmission and distribution work not tied to a generation project, data center campus scope other than its behind-the-meter generation assets, and general industrial construction. For overlaps, the generation asset is PowerGen-visible pipeline while the account relationship stays with the vertical that owns it.</w:t>
      </w:r>
    </w:p>
    <w:p>
      <w:r>
        <w:br w:type="page"/>
      </w:r>
    </w:p>
    <w:p>
      <w:pPr>
        <w:pStyle w:val="Heading1"/>
        <w:spacing w:after="160" w:before="320"/>
      </w:pPr>
      <w:r>
        <w:rPr>
          <w:rFonts w:ascii="Calibri" w:cs="Calibri" w:eastAsia="Calibri" w:hAnsi="Calibri"/>
          <w:b/>
          <w:bCs/>
          <w:color w:val="1F3B57"/>
          <w:sz w:val="30"/>
          <w:szCs w:val="30"/>
        </w:rPr>
        <w:t xml:space="preserve">4. Current state: what the enterprise actually holds</w:t>
      </w:r>
    </w:p>
    <w:p>
      <w:pPr>
        <w:spacing w:after="140" w:line="264"/>
      </w:pPr>
      <w:r>
        <w:rPr>
          <w:rFonts w:ascii="Calibri" w:cs="Calibri" w:eastAsia="Calibri" w:hAnsi="Calibri"/>
          <w:b w:val="false"/>
          <w:bCs w:val="false"/>
          <w:i w:val="false"/>
          <w:iCs w:val="false"/>
          <w:color w:val="222222"/>
          <w:sz w:val="21"/>
          <w:szCs w:val="21"/>
        </w:rPr>
        <w:t xml:space="preserve">The consolidated picture below is what the evidence supports today. TBD means the evidence base contains nothing, not that nothing exists; the August 21 to 28 baseline exercise fills these cells.</w:t>
      </w:r>
    </w:p>
    <w:p>
      <w:pPr>
        <w:spacing w:after="100" w:before="200"/>
      </w:pPr>
      <w:r>
        <w:rPr>
          <w:rFonts w:ascii="Calibri" w:cs="Calibri" w:eastAsia="Calibri" w:hAnsi="Calibri"/>
          <w:b/>
          <w:bCs/>
          <w:color w:val="0F6E84"/>
          <w:sz w:val="20"/>
          <w:szCs w:val="20"/>
        </w:rPr>
        <w:t xml:space="preserve">Exhibit 3. </w:t>
      </w:r>
      <w:r>
        <w:rPr>
          <w:rFonts w:ascii="Calibri" w:cs="Calibri" w:eastAsia="Calibri" w:hAnsi="Calibri"/>
          <w:b/>
          <w:bCs/>
          <w:color w:val="222222"/>
          <w:sz w:val="20"/>
          <w:szCs w:val="20"/>
        </w:rPr>
        <w:t xml:space="preserve">Enterprise activity map, summarized</w:t>
      </w:r>
    </w:p>
    <w:tbl>
      <w:tblPr>
        <w:tblW w:type="dxa" w:w="9360"/>
        <w:tblBorders>
          <w:top w:val="single" w:color="C9D2DB" w:sz="4"/>
          <w:left w:val="single" w:color="C9D2DB" w:sz="4"/>
          <w:bottom w:val="single" w:color="C9D2DB" w:sz="4"/>
          <w:right w:val="single" w:color="C9D2DB" w:sz="4"/>
          <w:insideH w:val="single" w:color="C9D2DB" w:sz="4"/>
          <w:insideV w:val="single" w:color="C9D2DB" w:sz="4"/>
        </w:tblBorders>
      </w:tblPr>
      <w:tblGrid>
        <w:gridCol w:w="2059"/>
        <w:gridCol w:w="2808"/>
        <w:gridCol w:w="1685"/>
        <w:gridCol w:w="2808"/>
      </w:tblGrid>
      <w:tr>
        <w:trPr>
          <w:tblHeader/>
        </w:trPr>
        <w:tc>
          <w:tcPr>
            <w:tcW w:type="dxa" w:w="2059"/>
            <w:shd w:fill="1F3B57" w:val="clear"/>
            <w:tcMar>
              <w:top w:type="dxa" w:w="60"/>
              <w:left w:type="dxa" w:w="90"/>
              <w:bottom w:type="dxa" w:w="60"/>
              <w:right w:type="dxa" w:w="90"/>
            </w:tcMar>
            <w:vAlign w:val="center"/>
          </w:tcPr>
          <w:p>
            <w:pPr>
              <w:spacing w:after="40" w:line="240"/>
            </w:pPr>
            <w:r>
              <w:rPr>
                <w:rFonts w:ascii="Calibri" w:cs="Calibri" w:eastAsia="Calibri" w:hAnsi="Calibri"/>
                <w:b/>
                <w:bCs/>
                <w:color w:val="FFFFFF"/>
                <w:sz w:val="18"/>
                <w:szCs w:val="18"/>
              </w:rPr>
              <w:t xml:space="preserve">Lane</w:t>
            </w:r>
          </w:p>
        </w:tc>
        <w:tc>
          <w:tcPr>
            <w:tcW w:type="dxa" w:w="2808"/>
            <w:shd w:fill="1F3B57" w:val="clear"/>
            <w:tcMar>
              <w:top w:type="dxa" w:w="60"/>
              <w:left w:type="dxa" w:w="90"/>
              <w:bottom w:type="dxa" w:w="60"/>
              <w:right w:type="dxa" w:w="90"/>
            </w:tcMar>
            <w:vAlign w:val="center"/>
          </w:tcPr>
          <w:p>
            <w:pPr>
              <w:spacing w:after="40" w:line="240"/>
            </w:pPr>
            <w:r>
              <w:rPr>
                <w:rFonts w:ascii="Calibri" w:cs="Calibri" w:eastAsia="Calibri" w:hAnsi="Calibri"/>
                <w:b/>
                <w:bCs/>
                <w:color w:val="FFFFFF"/>
                <w:sz w:val="18"/>
                <w:szCs w:val="18"/>
              </w:rPr>
              <w:t xml:space="preserve">Position today</w:t>
            </w:r>
          </w:p>
        </w:tc>
        <w:tc>
          <w:tcPr>
            <w:tcW w:type="dxa" w:w="1685"/>
            <w:shd w:fill="1F3B57" w:val="clear"/>
            <w:tcMar>
              <w:top w:type="dxa" w:w="60"/>
              <w:left w:type="dxa" w:w="90"/>
              <w:bottom w:type="dxa" w:w="60"/>
              <w:right w:type="dxa" w:w="90"/>
            </w:tcMar>
            <w:vAlign w:val="center"/>
          </w:tcPr>
          <w:p>
            <w:pPr>
              <w:spacing w:after="40" w:line="240"/>
            </w:pPr>
            <w:r>
              <w:rPr>
                <w:rFonts w:ascii="Calibri" w:cs="Calibri" w:eastAsia="Calibri" w:hAnsi="Calibri"/>
                <w:b/>
                <w:bCs/>
                <w:color w:val="FFFFFF"/>
                <w:sz w:val="18"/>
                <w:szCs w:val="18"/>
              </w:rPr>
              <w:t xml:space="preserve">Owner</w:t>
            </w:r>
          </w:p>
        </w:tc>
        <w:tc>
          <w:tcPr>
            <w:tcW w:type="dxa" w:w="2808"/>
            <w:shd w:fill="1F3B57" w:val="clear"/>
            <w:tcMar>
              <w:top w:type="dxa" w:w="60"/>
              <w:left w:type="dxa" w:w="90"/>
              <w:bottom w:type="dxa" w:w="60"/>
              <w:right w:type="dxa" w:w="90"/>
            </w:tcMar>
            <w:vAlign w:val="center"/>
          </w:tcPr>
          <w:p>
            <w:pPr>
              <w:spacing w:after="40" w:line="240"/>
            </w:pPr>
            <w:r>
              <w:rPr>
                <w:rFonts w:ascii="Calibri" w:cs="Calibri" w:eastAsia="Calibri" w:hAnsi="Calibri"/>
                <w:b/>
                <w:bCs/>
                <w:color w:val="FFFFFF"/>
                <w:sz w:val="18"/>
                <w:szCs w:val="18"/>
              </w:rPr>
              <w:t xml:space="preserve">Exposure or gap</w:t>
            </w:r>
          </w:p>
        </w:tc>
      </w:tr>
      <w:tr>
        <w:tc>
          <w:tcPr>
            <w:tcW w:type="dxa" w:w="2059"/>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Utility generation and interconnection</w:t>
            </w:r>
          </w:p>
        </w:tc>
        <w:tc>
          <w:tcPr>
            <w:tcW w:type="dxa" w:w="2808"/>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Booked work “already underway”; content and accounts TBD</w:t>
            </w:r>
          </w:p>
        </w:tc>
        <w:tc>
          <w:tcPr>
            <w:tcW w:type="dxa" w:w="1685"/>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Utility business</w:t>
            </w:r>
          </w:p>
        </w:tc>
        <w:tc>
          <w:tcPr>
            <w:tcW w:type="dxa" w:w="2808"/>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Boundary with Renewables and Industrial/EPC undefined</w:t>
            </w:r>
          </w:p>
        </w:tc>
      </w:tr>
      <w:tr>
        <w:tc>
          <w:tcPr>
            <w:tcW w:type="dxa" w:w="2059"/>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Renewables and storage</w:t>
            </w:r>
          </w:p>
        </w:tc>
        <w:tc>
          <w:tcPr>
            <w:tcW w:type="dxa" w:w="2808"/>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Established position asserted; detail TBD</w:t>
            </w:r>
          </w:p>
        </w:tc>
        <w:tc>
          <w:tcPr>
            <w:tcW w:type="dxa" w:w="1685"/>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Renewables business</w:t>
            </w:r>
          </w:p>
        </w:tc>
        <w:tc>
          <w:tcPr>
            <w:tcW w:type="dxa" w:w="2808"/>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Repower sits between Renewables and any new lane</w:t>
            </w:r>
          </w:p>
        </w:tc>
      </w:tr>
      <w:tr>
        <w:tc>
          <w:tcPr>
            <w:tcW w:type="dxa" w:w="2059"/>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IPP conventional gas</w:t>
            </w:r>
          </w:p>
        </w:tc>
        <w:tc>
          <w:tcPr>
            <w:tcW w:type="dxa" w:w="2808"/>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Two named conversations, one named target; nothing past Engaged</w:t>
            </w:r>
          </w:p>
        </w:tc>
        <w:tc>
          <w:tcPr>
            <w:tcW w:type="dxa" w:w="1685"/>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Stephan, ad hoc</w:t>
            </w:r>
          </w:p>
        </w:tc>
        <w:tc>
          <w:tcPr>
            <w:tcW w:type="dxa" w:w="2808"/>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Highest channel-conflict exposure; no pursuit rulebook</w:t>
            </w:r>
          </w:p>
        </w:tc>
      </w:tr>
      <w:tr>
        <w:tc>
          <w:tcPr>
            <w:tcW w:type="dxa" w:w="2059"/>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EPC / OE specification</w:t>
            </w:r>
          </w:p>
        </w:tc>
        <w:tc>
          <w:tcPr>
            <w:tcW w:type="dxa" w:w="2808"/>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Relationships exist in Industrial/EPC; spec position TBD</w:t>
            </w:r>
          </w:p>
        </w:tc>
        <w:tc>
          <w:tcPr>
            <w:tcW w:type="dxa" w:w="1685"/>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Industrial/EPC business</w:t>
            </w:r>
          </w:p>
        </w:tc>
        <w:tc>
          <w:tcPr>
            <w:tcW w:type="dxa" w:w="2808"/>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No protocol for joint PowerGen pursuit</w:t>
            </w:r>
          </w:p>
        </w:tc>
      </w:tr>
      <w:tr>
        <w:tc>
          <w:tcPr>
            <w:tcW w:type="dxa" w:w="2059"/>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OEM and modular</w:t>
            </w:r>
          </w:p>
        </w:tc>
        <w:tc>
          <w:tcPr>
            <w:tcW w:type="dxa" w:w="2808"/>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Target map consolidating; outreach quality-gated</w:t>
            </w:r>
          </w:p>
        </w:tc>
        <w:tc>
          <w:tcPr>
            <w:tcW w:type="dxa" w:w="1685"/>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Mike Pitello, Stephan gate</w:t>
            </w:r>
          </w:p>
        </w:tc>
        <w:tc>
          <w:tcPr>
            <w:tcW w:type="dxa" w:w="2808"/>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Unknown overlap with existing Southwire accounts</w:t>
            </w:r>
          </w:p>
        </w:tc>
      </w:tr>
      <w:tr>
        <w:tc>
          <w:tcPr>
            <w:tcW w:type="dxa" w:w="2059"/>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Data Center / behind-the-meter</w:t>
            </w:r>
          </w:p>
        </w:tc>
        <w:tc>
          <w:tcPr>
            <w:tcW w:type="dxa" w:w="2808"/>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Demand signals TBD</w:t>
            </w:r>
          </w:p>
        </w:tc>
        <w:tc>
          <w:tcPr>
            <w:tcW w:type="dxa" w:w="1685"/>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Data Center vertical</w:t>
            </w:r>
          </w:p>
        </w:tc>
        <w:tc>
          <w:tcPr>
            <w:tcW w:type="dxa" w:w="2808"/>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Same developers may sit in two enterprise views</w:t>
            </w:r>
          </w:p>
        </w:tc>
      </w:tr>
      <w:tr>
        <w:tc>
          <w:tcPr>
            <w:tcW w:type="dxa" w:w="2059"/>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Repower and brownfield</w:t>
            </w:r>
          </w:p>
        </w:tc>
        <w:tc>
          <w:tcPr>
            <w:tcW w:type="dxa" w:w="2808"/>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No activity evidenced</w:t>
            </w:r>
          </w:p>
        </w:tc>
        <w:tc>
          <w:tcPr>
            <w:tcW w:type="dxa" w:w="1685"/>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None</w:t>
            </w:r>
          </w:p>
        </w:tc>
        <w:tc>
          <w:tcPr>
            <w:tcW w:type="dxa" w:w="2808"/>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Strategy concept, not yet a business</w:t>
            </w:r>
          </w:p>
        </w:tc>
      </w:tr>
      <w:tr>
        <w:tc>
          <w:tcPr>
            <w:tcW w:type="dxa" w:w="2059"/>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Prefabrication and assemblies</w:t>
            </w:r>
          </w:p>
        </w:tc>
        <w:tc>
          <w:tcPr>
            <w:tcW w:type="dxa" w:w="2808"/>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Win mechanism, not a described business; one unverified proof</w:t>
            </w:r>
          </w:p>
        </w:tc>
        <w:tc>
          <w:tcPr>
            <w:tcW w:type="dxa" w:w="1685"/>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Operations implied</w:t>
            </w:r>
          </w:p>
        </w:tc>
        <w:tc>
          <w:tcPr>
            <w:tcW w:type="dxa" w:w="2808"/>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Proof must verify before external use</w:t>
            </w:r>
          </w:p>
        </w:tc>
      </w:tr>
      <w:tr>
        <w:tc>
          <w:tcPr>
            <w:tcW w:type="dxa" w:w="2059"/>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Nuclear and SMR</w:t>
            </w:r>
          </w:p>
        </w:tc>
        <w:tc>
          <w:tcPr>
            <w:tcW w:type="dxa" w:w="2808"/>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None</w:t>
            </w:r>
          </w:p>
        </w:tc>
        <w:tc>
          <w:tcPr>
            <w:tcW w:type="dxa" w:w="1685"/>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None</w:t>
            </w:r>
          </w:p>
        </w:tc>
        <w:tc>
          <w:tcPr>
            <w:tcW w:type="dxa" w:w="2808"/>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Long qualification path; watching brief only</w:t>
            </w:r>
          </w:p>
        </w:tc>
      </w:tr>
    </w:tbl>
    <w:p>
      <w:pPr>
        <w:spacing w:after="140" w:line="264"/>
      </w:pPr>
      <w:r>
        <w:rPr>
          <w:rFonts w:ascii="Calibri" w:cs="Calibri" w:eastAsia="Calibri" w:hAnsi="Calibri"/>
          <w:b w:val="false"/>
          <w:bCs w:val="false"/>
          <w:i w:val="false"/>
          <w:iCs w:val="false"/>
          <w:color w:val="222222"/>
          <w:sz w:val="21"/>
          <w:szCs w:val="21"/>
        </w:rPr>
        <w:t xml:space="preserve">Five structural observations follow, stated neutrally: the enterprise has strengths to defend and borrow from; handoffs between businesses are undefined while pursuits are live; two portfolio lanes are concepts without baselines; owner-direct dialogue is running ahead of channel rules; and no one holds a consolidated pipeline. None of these is a behavioral failure by any team. All five are structural, and all five are addressable without reorganizing.</w:t>
      </w:r>
    </w:p>
    <w:p>
      <w:pPr>
        <w:pStyle w:val="Heading1"/>
        <w:spacing w:after="160" w:before="320"/>
      </w:pPr>
      <w:r>
        <w:rPr>
          <w:rFonts w:ascii="Calibri" w:cs="Calibri" w:eastAsia="Calibri" w:hAnsi="Calibri"/>
          <w:b/>
          <w:bCs/>
          <w:color w:val="1F3B57"/>
          <w:sz w:val="30"/>
          <w:szCs w:val="30"/>
        </w:rPr>
        <w:t xml:space="preserve">5. Where to play</w:t>
      </w:r>
    </w:p>
    <w:p>
      <w:pPr>
        <w:spacing w:after="140" w:line="264"/>
      </w:pPr>
      <w:r>
        <w:rPr>
          <w:rFonts w:ascii="Calibri" w:cs="Calibri" w:eastAsia="Calibri" w:hAnsi="Calibri"/>
          <w:b w:val="false"/>
          <w:bCs w:val="false"/>
          <w:i w:val="false"/>
          <w:iCs w:val="false"/>
          <w:color w:val="222222"/>
          <w:sz w:val="21"/>
          <w:szCs w:val="21"/>
        </w:rPr>
        <w:t xml:space="preserve">The portfolio applies four postures. Scores behind the selection are qualitative and labeled as inference in the evidence pack; they will be re-scored when the baseline and discovery reads land.</w:t>
      </w:r>
    </w:p>
    <w:p>
      <w:pPr>
        <w:spacing w:after="100" w:before="200"/>
      </w:pPr>
      <w:r>
        <w:rPr>
          <w:rFonts w:ascii="Calibri" w:cs="Calibri" w:eastAsia="Calibri" w:hAnsi="Calibri"/>
          <w:b/>
          <w:bCs/>
          <w:color w:val="0F6E84"/>
          <w:sz w:val="20"/>
          <w:szCs w:val="20"/>
        </w:rPr>
        <w:t xml:space="preserve">Exhibit 4. </w:t>
      </w:r>
      <w:r>
        <w:rPr>
          <w:rFonts w:ascii="Calibri" w:cs="Calibri" w:eastAsia="Calibri" w:hAnsi="Calibri"/>
          <w:b/>
          <w:bCs/>
          <w:color w:val="222222"/>
          <w:sz w:val="20"/>
          <w:szCs w:val="20"/>
        </w:rPr>
        <w:t xml:space="preserve">Portfolio: four postures, four resourced plays</w:t>
      </w:r>
    </w:p>
    <w:tbl>
      <w:tblPr>
        <w:tblW w:type="dxa" w:w="9360"/>
        <w:tblBorders>
          <w:top w:val="single" w:color="C9D2DB" w:sz="4"/>
          <w:left w:val="single" w:color="C9D2DB" w:sz="4"/>
          <w:bottom w:val="single" w:color="C9D2DB" w:sz="4"/>
          <w:right w:val="single" w:color="C9D2DB" w:sz="4"/>
          <w:insideH w:val="single" w:color="C9D2DB" w:sz="4"/>
          <w:insideV w:val="single" w:color="C9D2DB" w:sz="4"/>
        </w:tblBorders>
      </w:tblPr>
      <w:tblGrid>
        <w:gridCol w:w="1685"/>
        <w:gridCol w:w="3182"/>
        <w:gridCol w:w="1310"/>
        <w:gridCol w:w="3182"/>
      </w:tblGrid>
      <w:tr>
        <w:trPr>
          <w:tblHeader/>
        </w:trPr>
        <w:tc>
          <w:tcPr>
            <w:tcW w:type="dxa" w:w="1685"/>
            <w:shd w:fill="1F3B57" w:val="clear"/>
            <w:tcMar>
              <w:top w:type="dxa" w:w="60"/>
              <w:left w:type="dxa" w:w="90"/>
              <w:bottom w:type="dxa" w:w="60"/>
              <w:right w:type="dxa" w:w="90"/>
            </w:tcMar>
            <w:vAlign w:val="center"/>
          </w:tcPr>
          <w:p>
            <w:pPr>
              <w:spacing w:after="40" w:line="240"/>
            </w:pPr>
            <w:r>
              <w:rPr>
                <w:rFonts w:ascii="Calibri" w:cs="Calibri" w:eastAsia="Calibri" w:hAnsi="Calibri"/>
                <w:b/>
                <w:bCs/>
                <w:color w:val="FFFFFF"/>
                <w:sz w:val="18"/>
                <w:szCs w:val="18"/>
              </w:rPr>
              <w:t xml:space="preserve">Posture</w:t>
            </w:r>
          </w:p>
        </w:tc>
        <w:tc>
          <w:tcPr>
            <w:tcW w:type="dxa" w:w="3182"/>
            <w:shd w:fill="1F3B57" w:val="clear"/>
            <w:tcMar>
              <w:top w:type="dxa" w:w="60"/>
              <w:left w:type="dxa" w:w="90"/>
              <w:bottom w:type="dxa" w:w="60"/>
              <w:right w:type="dxa" w:w="90"/>
            </w:tcMar>
            <w:vAlign w:val="center"/>
          </w:tcPr>
          <w:p>
            <w:pPr>
              <w:spacing w:after="40" w:line="240"/>
            </w:pPr>
            <w:r>
              <w:rPr>
                <w:rFonts w:ascii="Calibri" w:cs="Calibri" w:eastAsia="Calibri" w:hAnsi="Calibri"/>
                <w:b/>
                <w:bCs/>
                <w:color w:val="FFFFFF"/>
                <w:sz w:val="18"/>
                <w:szCs w:val="18"/>
              </w:rPr>
              <w:t xml:space="preserve">Plays</w:t>
            </w:r>
          </w:p>
        </w:tc>
        <w:tc>
          <w:tcPr>
            <w:tcW w:type="dxa" w:w="1310"/>
            <w:shd w:fill="1F3B57" w:val="clear"/>
            <w:tcMar>
              <w:top w:type="dxa" w:w="60"/>
              <w:left w:type="dxa" w:w="90"/>
              <w:bottom w:type="dxa" w:w="60"/>
              <w:right w:type="dxa" w:w="90"/>
            </w:tcMar>
            <w:vAlign w:val="center"/>
          </w:tcPr>
          <w:p>
            <w:pPr>
              <w:spacing w:after="40" w:line="240"/>
            </w:pPr>
            <w:r>
              <w:rPr>
                <w:rFonts w:ascii="Calibri" w:cs="Calibri" w:eastAsia="Calibri" w:hAnsi="Calibri"/>
                <w:b/>
                <w:bCs/>
                <w:color w:val="FFFFFF"/>
                <w:sz w:val="18"/>
                <w:szCs w:val="18"/>
              </w:rPr>
              <w:t xml:space="preserve">Resourced now?</w:t>
            </w:r>
          </w:p>
        </w:tc>
        <w:tc>
          <w:tcPr>
            <w:tcW w:type="dxa" w:w="3182"/>
            <w:shd w:fill="1F3B57" w:val="clear"/>
            <w:tcMar>
              <w:top w:type="dxa" w:w="60"/>
              <w:left w:type="dxa" w:w="90"/>
              <w:bottom w:type="dxa" w:w="60"/>
              <w:right w:type="dxa" w:w="90"/>
            </w:tcMar>
            <w:vAlign w:val="center"/>
          </w:tcPr>
          <w:p>
            <w:pPr>
              <w:spacing w:after="40" w:line="240"/>
            </w:pPr>
            <w:r>
              <w:rPr>
                <w:rFonts w:ascii="Calibri" w:cs="Calibri" w:eastAsia="Calibri" w:hAnsi="Calibri"/>
                <w:b/>
                <w:bCs/>
                <w:color w:val="FFFFFF"/>
                <w:sz w:val="18"/>
                <w:szCs w:val="18"/>
              </w:rPr>
              <w:t xml:space="preserve">The condition attached</w:t>
            </w:r>
          </w:p>
        </w:tc>
      </w:tr>
      <w:tr>
        <w:tc>
          <w:tcPr>
            <w:tcW w:type="dxa" w:w="1685"/>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Defend and organize</w:t>
            </w:r>
          </w:p>
        </w:tc>
        <w:tc>
          <w:tcPr>
            <w:tcW w:type="dxa" w:w="3182"/>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Utility and Renewables base, including generation, interconnection and fleet work underway</w:t>
            </w:r>
          </w:p>
        </w:tc>
        <w:tc>
          <w:tcPr>
            <w:tcW w:type="dxa" w:w="1310"/>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Yes: play 1</w:t>
            </w:r>
          </w:p>
        </w:tc>
        <w:tc>
          <w:tcPr>
            <w:tcW w:type="dxa" w:w="3182"/>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First deliverable is the consolidated baseline of what the base actually contains</w:t>
            </w:r>
          </w:p>
        </w:tc>
      </w:tr>
      <w:tr>
        <w:tc>
          <w:tcPr>
            <w:tcW w:type="dxa" w:w="1685"/>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Accelerate now</w:t>
            </w:r>
          </w:p>
        </w:tc>
        <w:tc>
          <w:tcPr>
            <w:tcW w:type="dxa" w:w="3182"/>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IPP conventional gas owner discovery; EPC/OE specification position</w:t>
            </w:r>
          </w:p>
        </w:tc>
        <w:tc>
          <w:tcPr>
            <w:tcW w:type="dxa" w:w="1310"/>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Yes: plays 2 and 3</w:t>
            </w:r>
          </w:p>
        </w:tc>
        <w:tc>
          <w:tcPr>
            <w:tcW w:type="dxa" w:w="3182"/>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Acceleration never outruns its quality gates; discovery validates the early-entry premise</w:t>
            </w:r>
          </w:p>
        </w:tc>
      </w:tr>
      <w:tr>
        <w:tc>
          <w:tcPr>
            <w:tcW w:type="dxa" w:w="1685"/>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Build into platforms</w:t>
            </w:r>
          </w:p>
        </w:tc>
        <w:tc>
          <w:tcPr>
            <w:tcW w:type="dxa" w:w="3182"/>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OEM and modular packages; repower and brownfield; prefabrication</w:t>
            </w:r>
          </w:p>
        </w:tc>
        <w:tc>
          <w:tcPr>
            <w:tcW w:type="dxa" w:w="1310"/>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OEM only: play 4</w:t>
            </w:r>
          </w:p>
        </w:tc>
        <w:tc>
          <w:tcPr>
            <w:tcW w:type="dxa" w:w="3182"/>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OEM proceeds behind message, plan and target-map gates; repower and prefab wait for baseline and proof verification</w:t>
            </w:r>
          </w:p>
        </w:tc>
      </w:tr>
      <w:tr>
        <w:tc>
          <w:tcPr>
            <w:tcW w:type="dxa" w:w="1685"/>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Incubate deliberately</w:t>
            </w:r>
          </w:p>
        </w:tc>
        <w:tc>
          <w:tcPr>
            <w:tcW w:type="dxa" w:w="3182"/>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Nuclear and SMR</w:t>
            </w:r>
          </w:p>
        </w:tc>
        <w:tc>
          <w:tcPr>
            <w:tcW w:type="dxa" w:w="1310"/>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No</w:t>
            </w:r>
          </w:p>
        </w:tc>
        <w:tc>
          <w:tcPr>
            <w:tcW w:type="dxa" w:w="3182"/>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Named watcher and a qualification-path scoping note by the two-quarter review; nothing more</w:t>
            </w:r>
          </w:p>
        </w:tc>
      </w:tr>
    </w:tbl>
    <w:p>
      <w:pPr>
        <w:spacing w:after="140" w:line="264"/>
      </w:pPr>
      <w:r>
        <w:rPr>
          <w:rFonts w:ascii="Calibri" w:cs="Calibri" w:eastAsia="Calibri" w:hAnsi="Calibri"/>
          <w:b w:val="false"/>
          <w:bCs w:val="false"/>
          <w:i w:val="false"/>
          <w:iCs w:val="false"/>
          <w:color w:val="222222"/>
          <w:sz w:val="21"/>
          <w:szCs w:val="21"/>
        </w:rPr>
        <w:t xml:space="preserve">What stays out matters as much as what goes in. Repower and prefab remain in the portfolio but receive no dedicated pursuit resources until the evidence exists to aim them. Nuclear is explicitly a later bet. Spreading effort across all eight lanes now would leave the thirty-day plan without a spine.</w:t>
      </w:r>
    </w:p>
    <w:p>
      <w:r>
        <w:br w:type="page"/>
      </w:r>
    </w:p>
    <w:p>
      <w:pPr>
        <w:pStyle w:val="Heading1"/>
        <w:spacing w:after="160" w:before="320"/>
      </w:pPr>
      <w:r>
        <w:rPr>
          <w:rFonts w:ascii="Calibri" w:cs="Calibri" w:eastAsia="Calibri" w:hAnsi="Calibri"/>
          <w:b/>
          <w:bCs/>
          <w:color w:val="1F3B57"/>
          <w:sz w:val="30"/>
          <w:szCs w:val="30"/>
        </w:rPr>
        <w:t xml:space="preserve">6. How Southwire wins</w:t>
      </w:r>
    </w:p>
    <w:p>
      <w:pPr>
        <w:spacing w:after="140" w:line="264"/>
      </w:pPr>
      <w:r>
        <w:rPr>
          <w:rFonts w:ascii="Calibri" w:cs="Calibri" w:eastAsia="Calibri" w:hAnsi="Calibri"/>
          <w:b w:val="false"/>
          <w:bCs w:val="false"/>
          <w:i w:val="false"/>
          <w:iCs w:val="false"/>
          <w:color w:val="222222"/>
          <w:sz w:val="21"/>
          <w:szCs w:val="21"/>
        </w:rPr>
        <w:t xml:space="preserve">Each mechanism below links a documented customer problem to a Southwire action, the participants, the value logic and the validation still required. The honest column is the last one: most mechanisms are hypotheses with named tests, and the strategy treats them that way.</w:t>
      </w:r>
    </w:p>
    <w:p>
      <w:pPr>
        <w:spacing w:after="100" w:before="200"/>
      </w:pPr>
      <w:r>
        <w:rPr>
          <w:rFonts w:ascii="Calibri" w:cs="Calibri" w:eastAsia="Calibri" w:hAnsi="Calibri"/>
          <w:b/>
          <w:bCs/>
          <w:color w:val="0F6E84"/>
          <w:sz w:val="20"/>
          <w:szCs w:val="20"/>
        </w:rPr>
        <w:t xml:space="preserve">Exhibit 5. </w:t>
      </w:r>
      <w:r>
        <w:rPr>
          <w:rFonts w:ascii="Calibri" w:cs="Calibri" w:eastAsia="Calibri" w:hAnsi="Calibri"/>
          <w:b/>
          <w:bCs/>
          <w:color w:val="222222"/>
          <w:sz w:val="20"/>
          <w:szCs w:val="20"/>
        </w:rPr>
        <w:t xml:space="preserve">Win mechanisms and their validation gates</w:t>
      </w:r>
    </w:p>
    <w:tbl>
      <w:tblPr>
        <w:tblW w:type="dxa" w:w="9360"/>
        <w:tblBorders>
          <w:top w:val="single" w:color="C9D2DB" w:sz="4"/>
          <w:left w:val="single" w:color="C9D2DB" w:sz="4"/>
          <w:bottom w:val="single" w:color="C9D2DB" w:sz="4"/>
          <w:right w:val="single" w:color="C9D2DB" w:sz="4"/>
          <w:insideH w:val="single" w:color="C9D2DB" w:sz="4"/>
          <w:insideV w:val="single" w:color="C9D2DB" w:sz="4"/>
        </w:tblBorders>
      </w:tblPr>
      <w:tblGrid>
        <w:gridCol w:w="1872"/>
        <w:gridCol w:w="2246"/>
        <w:gridCol w:w="2808"/>
        <w:gridCol w:w="2434"/>
      </w:tblGrid>
      <w:tr>
        <w:trPr>
          <w:tblHeader/>
        </w:trPr>
        <w:tc>
          <w:tcPr>
            <w:tcW w:type="dxa" w:w="1872"/>
            <w:shd w:fill="1F3B57" w:val="clear"/>
            <w:tcMar>
              <w:top w:type="dxa" w:w="60"/>
              <w:left w:type="dxa" w:w="90"/>
              <w:bottom w:type="dxa" w:w="60"/>
              <w:right w:type="dxa" w:w="90"/>
            </w:tcMar>
            <w:vAlign w:val="center"/>
          </w:tcPr>
          <w:p>
            <w:pPr>
              <w:spacing w:after="40" w:line="240"/>
            </w:pPr>
            <w:r>
              <w:rPr>
                <w:rFonts w:ascii="Calibri" w:cs="Calibri" w:eastAsia="Calibri" w:hAnsi="Calibri"/>
                <w:b/>
                <w:bCs/>
                <w:color w:val="FFFFFF"/>
                <w:sz w:val="18"/>
                <w:szCs w:val="18"/>
              </w:rPr>
              <w:t xml:space="preserve">Mechanism</w:t>
            </w:r>
          </w:p>
        </w:tc>
        <w:tc>
          <w:tcPr>
            <w:tcW w:type="dxa" w:w="2246"/>
            <w:shd w:fill="1F3B57" w:val="clear"/>
            <w:tcMar>
              <w:top w:type="dxa" w:w="60"/>
              <w:left w:type="dxa" w:w="90"/>
              <w:bottom w:type="dxa" w:w="60"/>
              <w:right w:type="dxa" w:w="90"/>
            </w:tcMar>
            <w:vAlign w:val="center"/>
          </w:tcPr>
          <w:p>
            <w:pPr>
              <w:spacing w:after="40" w:line="240"/>
            </w:pPr>
            <w:r>
              <w:rPr>
                <w:rFonts w:ascii="Calibri" w:cs="Calibri" w:eastAsia="Calibri" w:hAnsi="Calibri"/>
                <w:b/>
                <w:bCs/>
                <w:color w:val="FFFFFF"/>
                <w:sz w:val="18"/>
                <w:szCs w:val="18"/>
              </w:rPr>
              <w:t xml:space="preserve">Customer problem</w:t>
            </w:r>
          </w:p>
        </w:tc>
        <w:tc>
          <w:tcPr>
            <w:tcW w:type="dxa" w:w="2808"/>
            <w:shd w:fill="1F3B57" w:val="clear"/>
            <w:tcMar>
              <w:top w:type="dxa" w:w="60"/>
              <w:left w:type="dxa" w:w="90"/>
              <w:bottom w:type="dxa" w:w="60"/>
              <w:right w:type="dxa" w:w="90"/>
            </w:tcMar>
            <w:vAlign w:val="center"/>
          </w:tcPr>
          <w:p>
            <w:pPr>
              <w:spacing w:after="40" w:line="240"/>
            </w:pPr>
            <w:r>
              <w:rPr>
                <w:rFonts w:ascii="Calibri" w:cs="Calibri" w:eastAsia="Calibri" w:hAnsi="Calibri"/>
                <w:b/>
                <w:bCs/>
                <w:color w:val="FFFFFF"/>
                <w:sz w:val="18"/>
                <w:szCs w:val="18"/>
              </w:rPr>
              <w:t xml:space="preserve">Southwire action</w:t>
            </w:r>
          </w:p>
        </w:tc>
        <w:tc>
          <w:tcPr>
            <w:tcW w:type="dxa" w:w="2434"/>
            <w:shd w:fill="1F3B57" w:val="clear"/>
            <w:tcMar>
              <w:top w:type="dxa" w:w="60"/>
              <w:left w:type="dxa" w:w="90"/>
              <w:bottom w:type="dxa" w:w="60"/>
              <w:right w:type="dxa" w:w="90"/>
            </w:tcMar>
            <w:vAlign w:val="center"/>
          </w:tcPr>
          <w:p>
            <w:pPr>
              <w:spacing w:after="40" w:line="240"/>
            </w:pPr>
            <w:r>
              <w:rPr>
                <w:rFonts w:ascii="Calibri" w:cs="Calibri" w:eastAsia="Calibri" w:hAnsi="Calibri"/>
                <w:b/>
                <w:bCs/>
                <w:color w:val="FFFFFF"/>
                <w:sz w:val="18"/>
                <w:szCs w:val="18"/>
              </w:rPr>
              <w:t xml:space="preserve">Validation required</w:t>
            </w:r>
          </w:p>
        </w:tc>
      </w:tr>
      <w:tr>
        <w:tc>
          <w:tcPr>
            <w:tcW w:type="dxa" w:w="1872"/>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Early entry for faster time to power</w:t>
            </w:r>
          </w:p>
        </w:tc>
        <w:tc>
          <w:tcPr>
            <w:tcW w:type="dxa" w:w="2246"/>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Owners are schedule-constrained; procurement-stage entry means competing on price</w:t>
            </w:r>
          </w:p>
        </w:tc>
        <w:tc>
          <w:tcPr>
            <w:tcW w:type="dxa" w:w="2808"/>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Engage during master planning and conceptual design, before the BOM is fixed, bringing specification and material lead-time planning into the schedule logic</w:t>
            </w:r>
          </w:p>
        </w:tc>
        <w:tc>
          <w:tcPr>
            <w:tcW w:type="dxa" w:w="2434"/>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NRG, Southern Power and CPV discovery must confirm owners open planning this early to a materials partner</w:t>
            </w:r>
          </w:p>
        </w:tc>
      </w:tr>
      <w:tr>
        <w:tc>
          <w:tcPr>
            <w:tcW w:type="dxa" w:w="1872"/>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Capacity-linked supply risk reduction</w:t>
            </w:r>
          </w:p>
        </w:tc>
        <w:tc>
          <w:tcPr>
            <w:tcW w:type="dxa" w:w="2246"/>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Projects carry supply continuity and change-order risk on electrical scope</w:t>
            </w:r>
          </w:p>
        </w:tc>
        <w:tc>
          <w:tcPr>
            <w:tcW w:type="dxa" w:w="2808"/>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Align manufacturing capacity, supply assurance, staging, logistics and change control with the project plan</w:t>
            </w:r>
          </w:p>
        </w:tc>
        <w:tc>
          <w:tcPr>
            <w:tcW w:type="dxa" w:w="2434"/>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Operations must confirm what capacity visibility and lead-time reliability can actually be promised</w:t>
            </w:r>
          </w:p>
        </w:tc>
      </w:tr>
      <w:tr>
        <w:tc>
          <w:tcPr>
            <w:tcW w:type="dxa" w:w="1872"/>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Prefabrication for labor productivity</w:t>
            </w:r>
          </w:p>
        </w:tc>
        <w:tc>
          <w:tcPr>
            <w:tcW w:type="dxa" w:w="2246"/>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Field electrical labor is scarce; rework compounds it</w:t>
            </w:r>
          </w:p>
        </w:tc>
        <w:tc>
          <w:tcPr>
            <w:tcW w:type="dxa" w:w="2808"/>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Factory assemblies, kitting, bulk packaging and field support move hours into controlled conditions</w:t>
            </w:r>
          </w:p>
        </w:tc>
        <w:tc>
          <w:tcPr>
            <w:tcW w:type="dxa" w:w="2434"/>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The single labor-hour case must verify, or a replacement case must be built, before the claim travels</w:t>
            </w:r>
          </w:p>
        </w:tc>
      </w:tr>
      <w:tr>
        <w:tc>
          <w:tcPr>
            <w:tcW w:type="dxa" w:w="1872"/>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Specification position at the EPC/OE control point</w:t>
            </w:r>
          </w:p>
        </w:tc>
        <w:tc>
          <w:tcPr>
            <w:tcW w:type="dxa" w:w="2246"/>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Whoever holds the spec holds the project</w:t>
            </w:r>
          </w:p>
        </w:tc>
        <w:tc>
          <w:tcPr>
            <w:tcW w:type="dxa" w:w="2808"/>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Earn named-basis or approved-equal positions by reducing EPC redesign and change-order exposure</w:t>
            </w:r>
          </w:p>
        </w:tc>
        <w:tc>
          <w:tcPr>
            <w:tcW w:type="dxa" w:w="2434"/>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Industrial/EPC input must establish the current spec position and the first two targets</w:t>
            </w:r>
          </w:p>
        </w:tc>
      </w:tr>
      <w:tr>
        <w:tc>
          <w:tcPr>
            <w:tcW w:type="dxa" w:w="1872"/>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Integrated electrical execution and lifecycle reliability</w:t>
            </w:r>
          </w:p>
        </w:tc>
        <w:tc>
          <w:tcPr>
            <w:tcW w:type="dxa" w:w="2246"/>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Owners assemble fragmented electrical scope across plant, interconnection and infrastructure</w:t>
            </w:r>
          </w:p>
        </w:tc>
        <w:tc>
          <w:tcPr>
            <w:tcW w:type="dxa" w:w="2808"/>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One orchestrated narrative and pursuit across every Southwire business touching the account</w:t>
            </w:r>
          </w:p>
        </w:tc>
        <w:tc>
          <w:tcPr>
            <w:tcW w:type="dxa" w:w="2434"/>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Earns belief only as the first four mechanisms produce verified cases</w:t>
            </w:r>
          </w:p>
        </w:tc>
      </w:tr>
    </w:tbl>
    <w:p>
      <w:pPr>
        <w:spacing w:after="140" w:line="264"/>
      </w:pPr>
      <w:r>
        <w:rPr>
          <w:rFonts w:ascii="Calibri" w:cs="Calibri" w:eastAsia="Calibri" w:hAnsi="Calibri"/>
          <w:b w:val="false"/>
          <w:bCs w:val="false"/>
          <w:i w:val="false"/>
          <w:iCs w:val="false"/>
          <w:color w:val="222222"/>
          <w:sz w:val="21"/>
          <w:szCs w:val="21"/>
        </w:rPr>
        <w:t xml:space="preserve">A testable position is stronger than a confident one. The thesis fails if owners do not engage pre-BOM, if Operations cannot commit capacity visibility, or if the labor proof dies without a successor. Each failure mode has a named validation activity inside the thirty-day plan.</w:t>
      </w:r>
    </w:p>
    <w:p>
      <w:pPr>
        <w:pStyle w:val="Heading1"/>
        <w:spacing w:after="160" w:before="320"/>
      </w:pPr>
      <w:r>
        <w:rPr>
          <w:rFonts w:ascii="Calibri" w:cs="Calibri" w:eastAsia="Calibri" w:hAnsi="Calibri"/>
          <w:b/>
          <w:bCs/>
          <w:color w:val="1F3B57"/>
          <w:sz w:val="30"/>
          <w:szCs w:val="30"/>
        </w:rPr>
        <w:t xml:space="preserve">7. Operating model</w:t>
      </w:r>
    </w:p>
    <w:p>
      <w:pPr>
        <w:spacing w:after="140" w:line="264"/>
      </w:pPr>
      <w:r>
        <w:rPr>
          <w:rFonts w:ascii="Calibri" w:cs="Calibri" w:eastAsia="Calibri" w:hAnsi="Calibri"/>
          <w:b w:val="false"/>
          <w:bCs w:val="false"/>
          <w:i w:val="false"/>
          <w:iCs w:val="false"/>
          <w:color w:val="222222"/>
          <w:sz w:val="21"/>
          <w:szCs w:val="21"/>
        </w:rPr>
        <w:t xml:space="preserve">Three models were compared against nine criteria: customer clarity, speed, accountability, political feasibility, enterprise leverage, resource requirements, P&amp;L clarity, channel-conflict risk and scalability.</w:t>
      </w:r>
    </w:p>
    <w:p>
      <w:pPr>
        <w:spacing w:after="100" w:before="200"/>
      </w:pPr>
      <w:r>
        <w:rPr>
          <w:rFonts w:ascii="Calibri" w:cs="Calibri" w:eastAsia="Calibri" w:hAnsi="Calibri"/>
          <w:b/>
          <w:bCs/>
          <w:color w:val="0F6E84"/>
          <w:sz w:val="20"/>
          <w:szCs w:val="20"/>
        </w:rPr>
        <w:t xml:space="preserve">Exhibit 6. </w:t>
      </w:r>
      <w:r>
        <w:rPr>
          <w:rFonts w:ascii="Calibri" w:cs="Calibri" w:eastAsia="Calibri" w:hAnsi="Calibri"/>
          <w:b/>
          <w:bCs/>
          <w:color w:val="222222"/>
          <w:sz w:val="20"/>
          <w:szCs w:val="20"/>
        </w:rPr>
        <w:t xml:space="preserve">Operating-model comparison, summarized</w:t>
      </w:r>
    </w:p>
    <w:tbl>
      <w:tblPr>
        <w:tblW w:type="dxa" w:w="9360"/>
        <w:tblBorders>
          <w:top w:val="single" w:color="C9D2DB" w:sz="4"/>
          <w:left w:val="single" w:color="C9D2DB" w:sz="4"/>
          <w:bottom w:val="single" w:color="C9D2DB" w:sz="4"/>
          <w:right w:val="single" w:color="C9D2DB" w:sz="4"/>
          <w:insideH w:val="single" w:color="C9D2DB" w:sz="4"/>
          <w:insideV w:val="single" w:color="C9D2DB" w:sz="4"/>
        </w:tblBorders>
      </w:tblPr>
      <w:tblGrid>
        <w:gridCol w:w="2059"/>
        <w:gridCol w:w="3557"/>
        <w:gridCol w:w="3744"/>
      </w:tblGrid>
      <w:tr>
        <w:trPr>
          <w:tblHeader/>
        </w:trPr>
        <w:tc>
          <w:tcPr>
            <w:tcW w:type="dxa" w:w="2059"/>
            <w:shd w:fill="1F3B57" w:val="clear"/>
            <w:tcMar>
              <w:top w:type="dxa" w:w="60"/>
              <w:left w:type="dxa" w:w="90"/>
              <w:bottom w:type="dxa" w:w="60"/>
              <w:right w:type="dxa" w:w="90"/>
            </w:tcMar>
            <w:vAlign w:val="center"/>
          </w:tcPr>
          <w:p>
            <w:pPr>
              <w:spacing w:after="40" w:line="240"/>
            </w:pPr>
            <w:r>
              <w:rPr>
                <w:rFonts w:ascii="Calibri" w:cs="Calibri" w:eastAsia="Calibri" w:hAnsi="Calibri"/>
                <w:b/>
                <w:bCs/>
                <w:color w:val="FFFFFF"/>
                <w:sz w:val="18"/>
                <w:szCs w:val="18"/>
              </w:rPr>
              <w:t xml:space="preserve">Model</w:t>
            </w:r>
          </w:p>
        </w:tc>
        <w:tc>
          <w:tcPr>
            <w:tcW w:type="dxa" w:w="3557"/>
            <w:shd w:fill="1F3B57" w:val="clear"/>
            <w:tcMar>
              <w:top w:type="dxa" w:w="60"/>
              <w:left w:type="dxa" w:w="90"/>
              <w:bottom w:type="dxa" w:w="60"/>
              <w:right w:type="dxa" w:w="90"/>
            </w:tcMar>
            <w:vAlign w:val="center"/>
          </w:tcPr>
          <w:p>
            <w:pPr>
              <w:spacing w:after="40" w:line="240"/>
            </w:pPr>
            <w:r>
              <w:rPr>
                <w:rFonts w:ascii="Calibri" w:cs="Calibri" w:eastAsia="Calibri" w:hAnsi="Calibri"/>
                <w:b/>
                <w:bCs/>
                <w:color w:val="FFFFFF"/>
                <w:sz w:val="18"/>
                <w:szCs w:val="18"/>
              </w:rPr>
              <w:t xml:space="preserve">Strongest features</w:t>
            </w:r>
          </w:p>
        </w:tc>
        <w:tc>
          <w:tcPr>
            <w:tcW w:type="dxa" w:w="3744"/>
            <w:shd w:fill="1F3B57" w:val="clear"/>
            <w:tcMar>
              <w:top w:type="dxa" w:w="60"/>
              <w:left w:type="dxa" w:w="90"/>
              <w:bottom w:type="dxa" w:w="60"/>
              <w:right w:type="dxa" w:w="90"/>
            </w:tcMar>
            <w:vAlign w:val="center"/>
          </w:tcPr>
          <w:p>
            <w:pPr>
              <w:spacing w:after="40" w:line="240"/>
            </w:pPr>
            <w:r>
              <w:rPr>
                <w:rFonts w:ascii="Calibri" w:cs="Calibri" w:eastAsia="Calibri" w:hAnsi="Calibri"/>
                <w:b/>
                <w:bCs/>
                <w:color w:val="FFFFFF"/>
                <w:sz w:val="18"/>
                <w:szCs w:val="18"/>
              </w:rPr>
              <w:t xml:space="preserve">Disqualifying weakness</w:t>
            </w:r>
          </w:p>
        </w:tc>
      </w:tr>
      <w:tr>
        <w:tc>
          <w:tcPr>
            <w:tcW w:type="dxa" w:w="2059"/>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1. Business-unit-led coordination</w:t>
            </w:r>
          </w:p>
        </w:tc>
        <w:tc>
          <w:tcPr>
            <w:tcW w:type="dxa" w:w="3557"/>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Politically costless; changes nothing; P&amp;L untouched</w:t>
            </w:r>
          </w:p>
        </w:tc>
        <w:tc>
          <w:tcPr>
            <w:tcW w:type="dxa" w:w="3744"/>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The enterprise outcome has no owner; the mandate goes unanswered; repeatable plays stay trapped in single lanes</w:t>
            </w:r>
          </w:p>
        </w:tc>
      </w:tr>
      <w:tr>
        <w:tc>
          <w:tcPr>
            <w:tcW w:type="dxa" w:w="2059"/>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2. Federated horizontal platform</w:t>
            </w:r>
          </w:p>
        </w:tc>
        <w:tc>
          <w:tcPr>
            <w:tcW w:type="dxa" w:w="3557"/>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One customer narrative; pursuit speed without moving revenue; small resource footprint; scales by portfolio entry, not org change</w:t>
            </w:r>
          </w:p>
        </w:tc>
        <w:tc>
          <w:tcPr>
            <w:tcW w:type="dxa" w:w="3744"/>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None disqualifying. Requires handoff and credit rules to hold, which Thursday adopts</w:t>
            </w:r>
          </w:p>
        </w:tc>
      </w:tr>
      <w:tr>
        <w:tc>
          <w:tcPr>
            <w:tcW w:type="dxa" w:w="2059"/>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3. Standalone Power Generation vertical</w:t>
            </w:r>
          </w:p>
        </w:tc>
        <w:tc>
          <w:tcPr>
            <w:tcW w:type="dxa" w:w="3557"/>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Clean accountability and P&amp;L at steady state</w:t>
            </w:r>
          </w:p>
        </w:tc>
        <w:tc>
          <w:tcPr>
            <w:tcW w:type="dxa" w:w="3744"/>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Twelve or more months of transition before selling; moves revenue and accounts ahead of any evidence; contradicts the explicit deferral of organization design</w:t>
            </w:r>
          </w:p>
        </w:tc>
      </w:tr>
    </w:tbl>
    <w:p>
      <w:pPr>
        <w:spacing w:after="140" w:line="264"/>
      </w:pPr>
      <w:r>
        <w:rPr>
          <w:rFonts w:ascii="Calibri" w:cs="Calibri" w:eastAsia="Calibri" w:hAnsi="Calibri"/>
          <w:b/>
          <w:bCs/>
          <w:i w:val="false"/>
          <w:iCs w:val="false"/>
          <w:color w:val="222222"/>
          <w:sz w:val="21"/>
          <w:szCs w:val="21"/>
        </w:rPr>
        <w:t xml:space="preserve">Recommendation. </w:t>
      </w:r>
      <w:r>
        <w:rPr>
          <w:rFonts w:ascii="Calibri" w:cs="Calibri" w:eastAsia="Calibri" w:hAnsi="Calibri"/>
          <w:b w:val="false"/>
          <w:bCs w:val="false"/>
          <w:i w:val="false"/>
          <w:iCs w:val="false"/>
          <w:color w:val="222222"/>
          <w:sz w:val="21"/>
          <w:szCs w:val="21"/>
        </w:rPr>
        <w:t xml:space="preserve">Adopt Model 2 for two quarters with a named review point. It is the only model satisfying all constraints simultaneously, it addresses the actual near-term problems, which are visibility, pursuit quality and undefined handoffs, and it preserves the option of a heavier structure once evidence could justify one. PowerGen convenes, prioritizes and escalates. It does not own accounts, product P&amp;Ls, pricing, manufacturing, fulfillment, capacity allocation, channel relationships or booked revenue.</w:t>
      </w:r>
    </w:p>
    <w:p>
      <w:pPr>
        <w:pStyle w:val="Heading2"/>
        <w:spacing w:after="120" w:before="240"/>
      </w:pPr>
      <w:r>
        <w:rPr>
          <w:rFonts w:ascii="Calibri" w:cs="Calibri" w:eastAsia="Calibri" w:hAnsi="Calibri"/>
          <w:b/>
          <w:bCs/>
          <w:color w:val="0F6E84"/>
          <w:sz w:val="24"/>
          <w:szCs w:val="24"/>
        </w:rPr>
        <w:t xml:space="preserve">Responsibility split in one view</w:t>
      </w:r>
    </w:p>
    <w:tbl>
      <w:tblPr>
        <w:tblW w:type="dxa" w:w="9360"/>
        <w:tblBorders>
          <w:top w:val="single" w:color="C9D2DB" w:sz="4"/>
          <w:left w:val="single" w:color="C9D2DB" w:sz="4"/>
          <w:bottom w:val="single" w:color="C9D2DB" w:sz="4"/>
          <w:right w:val="single" w:color="C9D2DB" w:sz="4"/>
          <w:insideH w:val="single" w:color="C9D2DB" w:sz="4"/>
          <w:insideV w:val="single" w:color="C9D2DB" w:sz="4"/>
        </w:tblBorders>
      </w:tblPr>
      <w:tblGrid>
        <w:gridCol w:w="3089"/>
        <w:gridCol w:w="3089"/>
        <w:gridCol w:w="3182"/>
      </w:tblGrid>
      <w:tr>
        <w:trPr>
          <w:tblHeader/>
        </w:trPr>
        <w:tc>
          <w:tcPr>
            <w:tcW w:type="dxa" w:w="3089"/>
            <w:shd w:fill="1F3B57" w:val="clear"/>
            <w:tcMar>
              <w:top w:type="dxa" w:w="60"/>
              <w:left w:type="dxa" w:w="90"/>
              <w:bottom w:type="dxa" w:w="60"/>
              <w:right w:type="dxa" w:w="90"/>
            </w:tcMar>
            <w:vAlign w:val="center"/>
          </w:tcPr>
          <w:p>
            <w:pPr>
              <w:spacing w:after="40" w:line="240"/>
            </w:pPr>
            <w:r>
              <w:rPr>
                <w:rFonts w:ascii="Calibri" w:cs="Calibri" w:eastAsia="Calibri" w:hAnsi="Calibri"/>
                <w:b/>
                <w:bCs/>
                <w:color w:val="FFFFFF"/>
                <w:sz w:val="18"/>
                <w:szCs w:val="18"/>
              </w:rPr>
              <w:t xml:space="preserve">PowerGen platform owns</w:t>
            </w:r>
          </w:p>
        </w:tc>
        <w:tc>
          <w:tcPr>
            <w:tcW w:type="dxa" w:w="3089"/>
            <w:shd w:fill="1F3B57" w:val="clear"/>
            <w:tcMar>
              <w:top w:type="dxa" w:w="60"/>
              <w:left w:type="dxa" w:w="90"/>
              <w:bottom w:type="dxa" w:w="60"/>
              <w:right w:type="dxa" w:w="90"/>
            </w:tcMar>
            <w:vAlign w:val="center"/>
          </w:tcPr>
          <w:p>
            <w:pPr>
              <w:spacing w:after="40" w:line="240"/>
            </w:pPr>
            <w:r>
              <w:rPr>
                <w:rFonts w:ascii="Calibri" w:cs="Calibri" w:eastAsia="Calibri" w:hAnsi="Calibri"/>
                <w:b/>
                <w:bCs/>
                <w:color w:val="FFFFFF"/>
                <w:sz w:val="18"/>
                <w:szCs w:val="18"/>
              </w:rPr>
              <w:t xml:space="preserve">Businesses and channels keep</w:t>
            </w:r>
          </w:p>
        </w:tc>
        <w:tc>
          <w:tcPr>
            <w:tcW w:type="dxa" w:w="3182"/>
            <w:shd w:fill="1F3B57" w:val="clear"/>
            <w:tcMar>
              <w:top w:type="dxa" w:w="60"/>
              <w:left w:type="dxa" w:w="90"/>
              <w:bottom w:type="dxa" w:w="60"/>
              <w:right w:type="dxa" w:w="90"/>
            </w:tcMar>
            <w:vAlign w:val="center"/>
          </w:tcPr>
          <w:p>
            <w:pPr>
              <w:spacing w:after="40" w:line="240"/>
            </w:pPr>
            <w:r>
              <w:rPr>
                <w:rFonts w:ascii="Calibri" w:cs="Calibri" w:eastAsia="Calibri" w:hAnsi="Calibri"/>
                <w:b/>
                <w:bCs/>
                <w:color w:val="FFFFFF"/>
                <w:sz w:val="18"/>
                <w:szCs w:val="18"/>
              </w:rPr>
              <w:t xml:space="preserve">Leadership decides</w:t>
            </w:r>
          </w:p>
        </w:tc>
      </w:tr>
      <w:tr>
        <w:tc>
          <w:tcPr>
            <w:tcW w:type="dxa" w:w="3089"/>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Market thesis and portfolio priorities</w:t>
            </w:r>
          </w:p>
        </w:tc>
        <w:tc>
          <w:tcPr>
            <w:tcW w:type="dxa" w:w="3089"/>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Accounts and customer execution</w:t>
            </w:r>
          </w:p>
        </w:tc>
        <w:tc>
          <w:tcPr>
            <w:tcW w:type="dxa" w:w="3182"/>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Mandate wording and accountable owner</w:t>
            </w:r>
          </w:p>
        </w:tc>
      </w:tr>
      <w:tr>
        <w:tc>
          <w:tcPr>
            <w:tcW w:type="dxa" w:w="3089"/>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Consolidated pipeline view and stage definitions</w:t>
            </w:r>
          </w:p>
        </w:tc>
        <w:tc>
          <w:tcPr>
            <w:tcW w:type="dxa" w:w="3089"/>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Pricing, quoting and margin</w:t>
            </w:r>
          </w:p>
        </w:tc>
        <w:tc>
          <w:tcPr>
            <w:tcW w:type="dxa" w:w="3182"/>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Scope boundary, including Data Center interface</w:t>
            </w:r>
          </w:p>
        </w:tc>
      </w:tr>
      <w:tr>
        <w:tc>
          <w:tcPr>
            <w:tcW w:type="dxa" w:w="3089"/>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Executive customer narrative</w:t>
            </w:r>
          </w:p>
        </w:tc>
        <w:tc>
          <w:tcPr>
            <w:tcW w:type="dxa" w:w="3089"/>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Manufacturing, capacity and fulfillment</w:t>
            </w:r>
          </w:p>
        </w:tc>
        <w:tc>
          <w:tcPr>
            <w:tcW w:type="dxa" w:w="3182"/>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Route-to-market principles as policy</w:t>
            </w:r>
          </w:p>
        </w:tc>
      </w:tr>
      <w:tr>
        <w:tc>
          <w:tcPr>
            <w:tcW w:type="dxa" w:w="3089"/>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Cross-business pursuit orchestration</w:t>
            </w:r>
          </w:p>
        </w:tc>
        <w:tc>
          <w:tcPr>
            <w:tcW w:type="dxa" w:w="3089"/>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Channel relationships and agent agreements</w:t>
            </w:r>
          </w:p>
        </w:tc>
        <w:tc>
          <w:tcPr>
            <w:tcW w:type="dxa" w:w="3182"/>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Mandate for businesses to feed the baseline</w:t>
            </w:r>
          </w:p>
        </w:tc>
      </w:tr>
      <w:tr>
        <w:tc>
          <w:tcPr>
            <w:tcW w:type="dxa" w:w="3089"/>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Escalation into Mark and the monthly update</w:t>
            </w:r>
          </w:p>
        </w:tc>
        <w:tc>
          <w:tcPr>
            <w:tcW w:type="dxa" w:w="3089"/>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All booked revenue, exactly where it books today</w:t>
            </w:r>
          </w:p>
        </w:tc>
        <w:tc>
          <w:tcPr>
            <w:tcW w:type="dxa" w:w="3182"/>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Attribution and credit rules, at or after the September update</w:t>
            </w:r>
          </w:p>
        </w:tc>
      </w:tr>
    </w:tbl>
    <w:p>
      <w:r>
        <w:br w:type="page"/>
      </w:r>
    </w:p>
    <w:p>
      <w:pPr>
        <w:pStyle w:val="Heading1"/>
        <w:spacing w:after="160" w:before="320"/>
      </w:pPr>
      <w:r>
        <w:rPr>
          <w:rFonts w:ascii="Calibri" w:cs="Calibri" w:eastAsia="Calibri" w:hAnsi="Calibri"/>
          <w:b/>
          <w:bCs/>
          <w:color w:val="1F3B57"/>
          <w:sz w:val="30"/>
          <w:szCs w:val="30"/>
        </w:rPr>
        <w:t xml:space="preserve">8. Route to market</w:t>
      </w:r>
    </w:p>
    <w:p>
      <w:pPr>
        <w:spacing w:after="140" w:line="264"/>
      </w:pPr>
      <w:r>
        <w:rPr>
          <w:rFonts w:ascii="Calibri" w:cs="Calibri" w:eastAsia="Calibri" w:hAnsi="Calibri"/>
          <w:b w:val="false"/>
          <w:bCs w:val="false"/>
          <w:i w:val="false"/>
          <w:iCs w:val="false"/>
          <w:color w:val="222222"/>
          <w:sz w:val="21"/>
          <w:szCs w:val="21"/>
        </w:rPr>
        <w:t xml:space="preserve">One principle, adopted as policy: owner-level engagement creates visibility and influence, and does not automatically imply an owner-direct transaction. Southwire uses early owner dialogue to understand timing, standards, constraints and risk, then aligns supply through the route the customer already uses: EPC, electrical contractor, distributor or agent. Direct supply is a deliberate exception justified by volume, buying behavior, strategic scope and channel alignment.</w:t>
      </w:r>
    </w:p>
    <w:p>
      <w:pPr>
        <w:pStyle w:val="ListParagraph"/>
        <w:numPr>
          <w:ilvl w:val="0"/>
          <w:numId w:val="2"/>
        </w:numPr>
        <w:spacing w:after="80" w:line="264"/>
      </w:pPr>
      <w:r>
        <w:rPr>
          <w:rFonts w:ascii="Calibri" w:cs="Calibri" w:eastAsia="Calibri" w:hAnsi="Calibri"/>
          <w:b/>
          <w:bCs/>
          <w:i w:val="false"/>
          <w:iCs w:val="false"/>
          <w:color w:val="222222"/>
          <w:sz w:val="21"/>
          <w:szCs w:val="21"/>
        </w:rPr>
        <w:t xml:space="preserve">Owner / IPP: </w:t>
      </w:r>
      <w:r>
        <w:rPr>
          <w:rFonts w:ascii="Calibri" w:cs="Calibri" w:eastAsia="Calibri" w:hAnsi="Calibri"/>
          <w:b w:val="false"/>
          <w:bCs w:val="false"/>
          <w:i w:val="false"/>
          <w:iCs w:val="false"/>
          <w:color w:val="222222"/>
          <w:sz w:val="21"/>
          <w:szCs w:val="21"/>
        </w:rPr>
        <w:t xml:space="preserve">frame value around time to power, project risk, material readiness, lifecycle economics and standardization.</w:t>
      </w:r>
    </w:p>
    <w:p>
      <w:pPr>
        <w:pStyle w:val="ListParagraph"/>
        <w:numPr>
          <w:ilvl w:val="0"/>
          <w:numId w:val="2"/>
        </w:numPr>
        <w:spacing w:after="80" w:line="264"/>
      </w:pPr>
      <w:r>
        <w:rPr>
          <w:rFonts w:ascii="Calibri" w:cs="Calibri" w:eastAsia="Calibri" w:hAnsi="Calibri"/>
          <w:b/>
          <w:bCs/>
          <w:i w:val="false"/>
          <w:iCs w:val="false"/>
          <w:color w:val="222222"/>
          <w:sz w:val="21"/>
          <w:szCs w:val="21"/>
        </w:rPr>
        <w:t xml:space="preserve">Engineer / EPC: </w:t>
      </w:r>
      <w:r>
        <w:rPr>
          <w:rFonts w:ascii="Calibri" w:cs="Calibri" w:eastAsia="Calibri" w:hAnsi="Calibri"/>
          <w:b w:val="false"/>
          <w:bCs w:val="false"/>
          <w:i w:val="false"/>
          <w:iCs w:val="false"/>
          <w:color w:val="222222"/>
          <w:sz w:val="21"/>
          <w:szCs w:val="21"/>
        </w:rPr>
        <w:t xml:space="preserve">earn specification position; reduce redesign and change-order exposure.</w:t>
      </w:r>
    </w:p>
    <w:p>
      <w:pPr>
        <w:pStyle w:val="ListParagraph"/>
        <w:numPr>
          <w:ilvl w:val="0"/>
          <w:numId w:val="2"/>
        </w:numPr>
        <w:spacing w:after="80" w:line="264"/>
      </w:pPr>
      <w:r>
        <w:rPr>
          <w:rFonts w:ascii="Calibri" w:cs="Calibri" w:eastAsia="Calibri" w:hAnsi="Calibri"/>
          <w:b/>
          <w:bCs/>
          <w:i w:val="false"/>
          <w:iCs w:val="false"/>
          <w:color w:val="222222"/>
          <w:sz w:val="21"/>
          <w:szCs w:val="21"/>
        </w:rPr>
        <w:t xml:space="preserve">OEM / modular integrator: </w:t>
      </w:r>
      <w:r>
        <w:rPr>
          <w:rFonts w:ascii="Calibri" w:cs="Calibri" w:eastAsia="Calibri" w:hAnsi="Calibri"/>
          <w:b w:val="false"/>
          <w:bCs w:val="false"/>
          <w:i w:val="false"/>
          <w:iCs w:val="false"/>
          <w:color w:val="222222"/>
          <w:sz w:val="21"/>
          <w:szCs w:val="21"/>
        </w:rPr>
        <w:t xml:space="preserve">embed standardized bills of material and repeatable supply programs in equipment platforms.</w:t>
      </w:r>
    </w:p>
    <w:p>
      <w:pPr>
        <w:pStyle w:val="ListParagraph"/>
        <w:numPr>
          <w:ilvl w:val="0"/>
          <w:numId w:val="2"/>
        </w:numPr>
        <w:spacing w:after="80" w:line="264"/>
      </w:pPr>
      <w:r>
        <w:rPr>
          <w:rFonts w:ascii="Calibri" w:cs="Calibri" w:eastAsia="Calibri" w:hAnsi="Calibri"/>
          <w:b/>
          <w:bCs/>
          <w:i w:val="false"/>
          <w:iCs w:val="false"/>
          <w:color w:val="222222"/>
          <w:sz w:val="21"/>
          <w:szCs w:val="21"/>
        </w:rPr>
        <w:t xml:space="preserve">Contractor / prefab shop: </w:t>
      </w:r>
      <w:r>
        <w:rPr>
          <w:rFonts w:ascii="Calibri" w:cs="Calibri" w:eastAsia="Calibri" w:hAnsi="Calibri"/>
          <w:b w:val="false"/>
          <w:bCs w:val="false"/>
          <w:i w:val="false"/>
          <w:iCs w:val="false"/>
          <w:color w:val="222222"/>
          <w:sz w:val="21"/>
          <w:szCs w:val="21"/>
        </w:rPr>
        <w:t xml:space="preserve">improve packaging, staging, labor productivity and installation readiness.</w:t>
      </w:r>
    </w:p>
    <w:p>
      <w:pPr>
        <w:pStyle w:val="ListParagraph"/>
        <w:numPr>
          <w:ilvl w:val="0"/>
          <w:numId w:val="2"/>
        </w:numPr>
        <w:spacing w:after="80" w:line="264"/>
      </w:pPr>
      <w:r>
        <w:rPr>
          <w:rFonts w:ascii="Calibri" w:cs="Calibri" w:eastAsia="Calibri" w:hAnsi="Calibri"/>
          <w:b/>
          <w:bCs/>
          <w:i w:val="false"/>
          <w:iCs w:val="false"/>
          <w:color w:val="222222"/>
          <w:sz w:val="21"/>
          <w:szCs w:val="21"/>
        </w:rPr>
        <w:t xml:space="preserve">Distribution / agents: </w:t>
      </w:r>
      <w:r>
        <w:rPr>
          <w:rFonts w:ascii="Calibri" w:cs="Calibri" w:eastAsia="Calibri" w:hAnsi="Calibri"/>
          <w:b w:val="false"/>
          <w:bCs w:val="false"/>
          <w:i w:val="false"/>
          <w:iCs w:val="false"/>
          <w:color w:val="222222"/>
          <w:sz w:val="21"/>
          <w:szCs w:val="21"/>
        </w:rPr>
        <w:t xml:space="preserve">fulfill locally, open doors and extend coverage under explicit account and attribution rules.</w:t>
      </w:r>
    </w:p>
    <w:p>
      <w:pPr>
        <w:spacing w:after="140" w:line="264"/>
      </w:pPr>
      <w:r>
        <w:rPr>
          <w:rFonts w:ascii="Calibri" w:cs="Calibri" w:eastAsia="Calibri" w:hAnsi="Calibri"/>
          <w:b/>
          <w:bCs/>
          <w:i w:val="false"/>
          <w:iCs w:val="false"/>
          <w:color w:val="222222"/>
          <w:sz w:val="21"/>
          <w:szCs w:val="21"/>
        </w:rPr>
        <w:t xml:space="preserve">The operating rule that makes the principle real: </w:t>
      </w:r>
      <w:r>
        <w:rPr>
          <w:rFonts w:ascii="Calibri" w:cs="Calibri" w:eastAsia="Calibri" w:hAnsi="Calibri"/>
          <w:b w:val="false"/>
          <w:bCs w:val="false"/>
          <w:i w:val="false"/>
          <w:iCs w:val="false"/>
          <w:color w:val="222222"/>
          <w:sz w:val="21"/>
          <w:szCs w:val="21"/>
        </w:rPr>
        <w:t xml:space="preserve">every pursuit declares its route intent at qualification, before distribution or field resources engage, and the incumbent business or channel on any touched account is at the table from qualification onward. Conflicts unresolved after two weeks go to Mark within one week; standing patterns go to the monthly leadership update.</w:t>
      </w:r>
    </w:p>
    <w:p>
      <w:pPr>
        <w:pStyle w:val="Heading1"/>
        <w:spacing w:after="160" w:before="320"/>
      </w:pPr>
      <w:r>
        <w:rPr>
          <w:rFonts w:ascii="Calibri" w:cs="Calibri" w:eastAsia="Calibri" w:hAnsi="Calibri"/>
          <w:b/>
          <w:bCs/>
          <w:color w:val="1F3B57"/>
          <w:sz w:val="30"/>
          <w:szCs w:val="30"/>
        </w:rPr>
        <w:t xml:space="preserve">9. Governance, decisions and measures</w:t>
      </w:r>
    </w:p>
    <w:p>
      <w:pPr>
        <w:spacing w:after="140" w:line="264"/>
      </w:pPr>
      <w:r>
        <w:rPr>
          <w:rFonts w:ascii="Calibri" w:cs="Calibri" w:eastAsia="Calibri" w:hAnsi="Calibri"/>
          <w:b w:val="false"/>
          <w:bCs w:val="false"/>
          <w:i w:val="false"/>
          <w:iCs w:val="false"/>
          <w:color w:val="222222"/>
          <w:sz w:val="21"/>
          <w:szCs w:val="21"/>
        </w:rPr>
        <w:t xml:space="preserve">Ten decisions are prepared for the working session, each with a recommended default, alternatives, evidence and a deferral risk. The session ratifies or amends; it does not start from a blank page. The full decision workshop is file 05 of the evidence pack.</w:t>
      </w:r>
    </w:p>
    <w:p>
      <w:pPr>
        <w:spacing w:after="100" w:before="200"/>
      </w:pPr>
      <w:r>
        <w:rPr>
          <w:rFonts w:ascii="Calibri" w:cs="Calibri" w:eastAsia="Calibri" w:hAnsi="Calibri"/>
          <w:b/>
          <w:bCs/>
          <w:color w:val="0F6E84"/>
          <w:sz w:val="20"/>
          <w:szCs w:val="20"/>
        </w:rPr>
        <w:t xml:space="preserve">Exhibit 7. </w:t>
      </w:r>
      <w:r>
        <w:rPr>
          <w:rFonts w:ascii="Calibri" w:cs="Calibri" w:eastAsia="Calibri" w:hAnsi="Calibri"/>
          <w:b/>
          <w:bCs/>
          <w:color w:val="222222"/>
          <w:sz w:val="20"/>
          <w:szCs w:val="20"/>
        </w:rPr>
        <w:t xml:space="preserve">The ten decisions and their recommended defaults</w:t>
      </w:r>
    </w:p>
    <w:tbl>
      <w:tblPr>
        <w:tblW w:type="dxa" w:w="9360"/>
        <w:tblBorders>
          <w:top w:val="single" w:color="C9D2DB" w:sz="4"/>
          <w:left w:val="single" w:color="C9D2DB" w:sz="4"/>
          <w:bottom w:val="single" w:color="C9D2DB" w:sz="4"/>
          <w:right w:val="single" w:color="C9D2DB" w:sz="4"/>
          <w:insideH w:val="single" w:color="C9D2DB" w:sz="4"/>
          <w:insideV w:val="single" w:color="C9D2DB" w:sz="4"/>
        </w:tblBorders>
      </w:tblPr>
      <w:tblGrid>
        <w:gridCol w:w="468"/>
        <w:gridCol w:w="2340"/>
        <w:gridCol w:w="6552"/>
      </w:tblGrid>
      <w:tr>
        <w:trPr>
          <w:tblHeader/>
        </w:trPr>
        <w:tc>
          <w:tcPr>
            <w:tcW w:type="dxa" w:w="468"/>
            <w:shd w:fill="1F3B57" w:val="clear"/>
            <w:tcMar>
              <w:top w:type="dxa" w:w="60"/>
              <w:left w:type="dxa" w:w="90"/>
              <w:bottom w:type="dxa" w:w="60"/>
              <w:right w:type="dxa" w:w="90"/>
            </w:tcMar>
            <w:vAlign w:val="center"/>
          </w:tcPr>
          <w:p>
            <w:pPr>
              <w:spacing w:after="40" w:line="240"/>
            </w:pPr>
            <w:r>
              <w:rPr>
                <w:rFonts w:ascii="Calibri" w:cs="Calibri" w:eastAsia="Calibri" w:hAnsi="Calibri"/>
                <w:b/>
                <w:bCs/>
                <w:color w:val="FFFFFF"/>
                <w:sz w:val="18"/>
                <w:szCs w:val="18"/>
              </w:rPr>
              <w:t xml:space="preserve">#</w:t>
            </w:r>
          </w:p>
        </w:tc>
        <w:tc>
          <w:tcPr>
            <w:tcW w:type="dxa" w:w="2340"/>
            <w:shd w:fill="1F3B57" w:val="clear"/>
            <w:tcMar>
              <w:top w:type="dxa" w:w="60"/>
              <w:left w:type="dxa" w:w="90"/>
              <w:bottom w:type="dxa" w:w="60"/>
              <w:right w:type="dxa" w:w="90"/>
            </w:tcMar>
            <w:vAlign w:val="center"/>
          </w:tcPr>
          <w:p>
            <w:pPr>
              <w:spacing w:after="40" w:line="240"/>
            </w:pPr>
            <w:r>
              <w:rPr>
                <w:rFonts w:ascii="Calibri" w:cs="Calibri" w:eastAsia="Calibri" w:hAnsi="Calibri"/>
                <w:b/>
                <w:bCs/>
                <w:color w:val="FFFFFF"/>
                <w:sz w:val="18"/>
                <w:szCs w:val="18"/>
              </w:rPr>
              <w:t xml:space="preserve">Decision</w:t>
            </w:r>
          </w:p>
        </w:tc>
        <w:tc>
          <w:tcPr>
            <w:tcW w:type="dxa" w:w="6552"/>
            <w:shd w:fill="1F3B57" w:val="clear"/>
            <w:tcMar>
              <w:top w:type="dxa" w:w="60"/>
              <w:left w:type="dxa" w:w="90"/>
              <w:bottom w:type="dxa" w:w="60"/>
              <w:right w:type="dxa" w:w="90"/>
            </w:tcMar>
            <w:vAlign w:val="center"/>
          </w:tcPr>
          <w:p>
            <w:pPr>
              <w:spacing w:after="40" w:line="240"/>
            </w:pPr>
            <w:r>
              <w:rPr>
                <w:rFonts w:ascii="Calibri" w:cs="Calibri" w:eastAsia="Calibri" w:hAnsi="Calibri"/>
                <w:b/>
                <w:bCs/>
                <w:color w:val="FFFFFF"/>
                <w:sz w:val="18"/>
                <w:szCs w:val="18"/>
              </w:rPr>
              <w:t xml:space="preserve">Recommended default</w:t>
            </w:r>
          </w:p>
        </w:tc>
      </w:tr>
      <w:tr>
        <w:tc>
          <w:tcPr>
            <w:tcW w:type="dxa" w:w="468"/>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1</w:t>
            </w:r>
          </w:p>
        </w:tc>
        <w:tc>
          <w:tcPr>
            <w:tcW w:type="dxa" w:w="2340"/>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Scope: inside and outside</w:t>
            </w:r>
          </w:p>
        </w:tc>
        <w:tc>
          <w:tcPr>
            <w:tcW w:type="dxa" w:w="6552"/>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Generation projects and fleets across three arenas and full lifecycle; interconnection tied to generation assets in; unrelated T&amp;D, non-generation data center scope and general industrial out</w:t>
            </w:r>
          </w:p>
        </w:tc>
      </w:tr>
      <w:tr>
        <w:tc>
          <w:tcPr>
            <w:tcW w:type="dxa" w:w="468"/>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2</w:t>
            </w:r>
          </w:p>
        </w:tc>
        <w:tc>
          <w:tcPr>
            <w:tcW w:type="dxa" w:w="2340"/>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Operating model</w:t>
            </w:r>
          </w:p>
        </w:tc>
        <w:tc>
          <w:tcPr>
            <w:tcW w:type="dxa" w:w="6552"/>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Federated horizontal platform, two-quarter trial</w:t>
            </w:r>
          </w:p>
        </w:tc>
      </w:tr>
      <w:tr>
        <w:tc>
          <w:tcPr>
            <w:tcW w:type="dxa" w:w="468"/>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3</w:t>
            </w:r>
          </w:p>
        </w:tc>
        <w:tc>
          <w:tcPr>
            <w:tcW w:type="dxa" w:w="2340"/>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PowerGen authority</w:t>
            </w:r>
          </w:p>
        </w:tc>
        <w:tc>
          <w:tcPr>
            <w:tcW w:type="dxa" w:w="6552"/>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Thesis, priorities, pipeline view, narrative, orchestration; nothing that moves accounts, prices or revenue</w:t>
            </w:r>
          </w:p>
        </w:tc>
      </w:tr>
      <w:tr>
        <w:tc>
          <w:tcPr>
            <w:tcW w:type="dxa" w:w="468"/>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4</w:t>
            </w:r>
          </w:p>
        </w:tc>
        <w:tc>
          <w:tcPr>
            <w:tcW w:type="dxa" w:w="2340"/>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Resourced plays</w:t>
            </w:r>
          </w:p>
        </w:tc>
        <w:tc>
          <w:tcPr>
            <w:tcW w:type="dxa" w:w="6552"/>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Defend the base; accelerate IPP discovery; accelerate EPC/OE specification; build OEM behind gates</w:t>
            </w:r>
          </w:p>
        </w:tc>
      </w:tr>
      <w:tr>
        <w:tc>
          <w:tcPr>
            <w:tcW w:type="dxa" w:w="468"/>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5</w:t>
            </w:r>
          </w:p>
        </w:tc>
        <w:tc>
          <w:tcPr>
            <w:tcW w:type="dxa" w:w="2340"/>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Pursuit leadership</w:t>
            </w:r>
          </w:p>
        </w:tc>
        <w:tc>
          <w:tcPr>
            <w:tcW w:type="dxa" w:w="6552"/>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Stephan on owners until September nominations; Industrial/EPC leads specification; Pitello leads OEM under the quality gate</w:t>
            </w:r>
          </w:p>
        </w:tc>
      </w:tr>
      <w:tr>
        <w:tc>
          <w:tcPr>
            <w:tcW w:type="dxa" w:w="468"/>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6</w:t>
            </w:r>
          </w:p>
        </w:tc>
        <w:tc>
          <w:tcPr>
            <w:tcW w:type="dxa" w:w="2340"/>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Channel selection</w:t>
            </w:r>
          </w:p>
        </w:tc>
        <w:tc>
          <w:tcPr>
            <w:tcW w:type="dxa" w:w="6552"/>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Route principles adopted as policy; route declared per pursuit at qualification</w:t>
            </w:r>
          </w:p>
        </w:tc>
      </w:tr>
      <w:tr>
        <w:tc>
          <w:tcPr>
            <w:tcW w:type="dxa" w:w="468"/>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7</w:t>
            </w:r>
          </w:p>
        </w:tc>
        <w:tc>
          <w:tcPr>
            <w:tcW w:type="dxa" w:w="2340"/>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Conflict resolution</w:t>
            </w:r>
          </w:p>
        </w:tc>
        <w:tc>
          <w:tcPr>
            <w:tcW w:type="dxa" w:w="6552"/>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Declare, decide, escalate protocol; revenue books where it books today</w:t>
            </w:r>
          </w:p>
        </w:tc>
      </w:tr>
      <w:tr>
        <w:tc>
          <w:tcPr>
            <w:tcW w:type="dxa" w:w="468"/>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8</w:t>
            </w:r>
          </w:p>
        </w:tc>
        <w:tc>
          <w:tcPr>
            <w:tcW w:type="dxa" w:w="2340"/>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Thirty-day resources</w:t>
            </w:r>
          </w:p>
        </w:tc>
        <w:tc>
          <w:tcPr>
            <w:tcW w:type="dxa" w:w="6552"/>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Named part-time contributors from every function; no new headcount</w:t>
            </w:r>
          </w:p>
        </w:tc>
      </w:tr>
      <w:tr>
        <w:tc>
          <w:tcPr>
            <w:tcW w:type="dxa" w:w="468"/>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9</w:t>
            </w:r>
          </w:p>
        </w:tc>
        <w:tc>
          <w:tcPr>
            <w:tcW w:type="dxa" w:w="2340"/>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September leadership asks</w:t>
            </w:r>
          </w:p>
        </w:tc>
        <w:tc>
          <w:tcPr>
            <w:tcW w:type="dxa" w:w="6552"/>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Confirm scope; endorse the model; confirm the plays; nominate leads; approve external research support</w:t>
            </w:r>
          </w:p>
        </w:tc>
      </w:tr>
      <w:tr>
        <w:tc>
          <w:tcPr>
            <w:tcW w:type="dxa" w:w="468"/>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10</w:t>
            </w:r>
          </w:p>
        </w:tc>
        <w:tc>
          <w:tcPr>
            <w:tcW w:type="dxa" w:w="2340"/>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Progress measures</w:t>
            </w:r>
          </w:p>
        </w:tc>
        <w:tc>
          <w:tcPr>
            <w:tcW w:type="dxa" w:w="6552"/>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Activity and quality measures for two quarters; revenue measures only after the baseline</w:t>
            </w:r>
          </w:p>
        </w:tc>
      </w:tr>
    </w:tbl>
    <w:p>
      <w:pPr>
        <w:spacing w:after="140" w:line="264"/>
      </w:pPr>
      <w:r>
        <w:rPr>
          <w:rFonts w:ascii="Calibri" w:cs="Calibri" w:eastAsia="Calibri" w:hAnsi="Calibri"/>
          <w:b w:val="false"/>
          <w:bCs w:val="false"/>
          <w:i w:val="false"/>
          <w:iCs w:val="false"/>
          <w:color w:val="222222"/>
          <w:sz w:val="21"/>
          <w:szCs w:val="21"/>
        </w:rPr>
        <w:t xml:space="preserve">Measures for the first two quarters, deliberately free of invented targets: baseline completed and accepted by all five businesses; three discovery conversations completed with written reads; OEM gates cleared and outreach released; the labor proof verified or retired; pipeline definitions adopted and the first consolidated view published; route intent declared on every qualified pursuit; escalations resolved inside the one-week rule.</w:t>
      </w:r>
    </w:p>
    <w:p>
      <w:r>
        <w:br w:type="page"/>
      </w:r>
    </w:p>
    <w:p>
      <w:pPr>
        <w:pStyle w:val="Heading1"/>
        <w:spacing w:after="160" w:before="320"/>
      </w:pPr>
      <w:r>
        <w:rPr>
          <w:rFonts w:ascii="Calibri" w:cs="Calibri" w:eastAsia="Calibri" w:hAnsi="Calibri"/>
          <w:b/>
          <w:bCs/>
          <w:color w:val="1F3B57"/>
          <w:sz w:val="30"/>
          <w:szCs w:val="30"/>
        </w:rPr>
        <w:t xml:space="preserve">10. Mobilization: the next thirty days</w:t>
      </w:r>
    </w:p>
    <w:p>
      <w:pPr>
        <w:spacing w:after="100" w:before="200"/>
      </w:pPr>
      <w:r>
        <w:rPr>
          <w:rFonts w:ascii="Calibri" w:cs="Calibri" w:eastAsia="Calibri" w:hAnsi="Calibri"/>
          <w:b/>
          <w:bCs/>
          <w:color w:val="0F6E84"/>
          <w:sz w:val="20"/>
          <w:szCs w:val="20"/>
        </w:rPr>
        <w:t xml:space="preserve">Exhibit 8. </w:t>
      </w:r>
      <w:r>
        <w:rPr>
          <w:rFonts w:ascii="Calibri" w:cs="Calibri" w:eastAsia="Calibri" w:hAnsi="Calibri"/>
          <w:b/>
          <w:bCs/>
          <w:color w:val="222222"/>
          <w:sz w:val="20"/>
          <w:szCs w:val="20"/>
        </w:rPr>
        <w:t xml:space="preserve">Thirty-day plan</w:t>
      </w:r>
    </w:p>
    <w:tbl>
      <w:tblPr>
        <w:tblW w:type="dxa" w:w="9360"/>
        <w:tblBorders>
          <w:top w:val="single" w:color="C9D2DB" w:sz="4"/>
          <w:left w:val="single" w:color="C9D2DB" w:sz="4"/>
          <w:bottom w:val="single" w:color="C9D2DB" w:sz="4"/>
          <w:right w:val="single" w:color="C9D2DB" w:sz="4"/>
          <w:insideH w:val="single" w:color="C9D2DB" w:sz="4"/>
          <w:insideV w:val="single" w:color="C9D2DB" w:sz="4"/>
        </w:tblBorders>
      </w:tblPr>
      <w:tblGrid>
        <w:gridCol w:w="1310"/>
        <w:gridCol w:w="2059"/>
        <w:gridCol w:w="4118"/>
        <w:gridCol w:w="1872"/>
      </w:tblGrid>
      <w:tr>
        <w:trPr>
          <w:tblHeader/>
        </w:trPr>
        <w:tc>
          <w:tcPr>
            <w:tcW w:type="dxa" w:w="1310"/>
            <w:shd w:fill="1F3B57" w:val="clear"/>
            <w:tcMar>
              <w:top w:type="dxa" w:w="60"/>
              <w:left w:type="dxa" w:w="90"/>
              <w:bottom w:type="dxa" w:w="60"/>
              <w:right w:type="dxa" w:w="90"/>
            </w:tcMar>
            <w:vAlign w:val="center"/>
          </w:tcPr>
          <w:p>
            <w:pPr>
              <w:spacing w:after="40" w:line="240"/>
            </w:pPr>
            <w:r>
              <w:rPr>
                <w:rFonts w:ascii="Calibri" w:cs="Calibri" w:eastAsia="Calibri" w:hAnsi="Calibri"/>
                <w:b/>
                <w:bCs/>
                <w:color w:val="FFFFFF"/>
                <w:sz w:val="18"/>
                <w:szCs w:val="18"/>
              </w:rPr>
              <w:t xml:space="preserve">Timing</w:t>
            </w:r>
          </w:p>
        </w:tc>
        <w:tc>
          <w:tcPr>
            <w:tcW w:type="dxa" w:w="2059"/>
            <w:shd w:fill="1F3B57" w:val="clear"/>
            <w:tcMar>
              <w:top w:type="dxa" w:w="60"/>
              <w:left w:type="dxa" w:w="90"/>
              <w:bottom w:type="dxa" w:w="60"/>
              <w:right w:type="dxa" w:w="90"/>
            </w:tcMar>
            <w:vAlign w:val="center"/>
          </w:tcPr>
          <w:p>
            <w:pPr>
              <w:spacing w:after="40" w:line="240"/>
            </w:pPr>
            <w:r>
              <w:rPr>
                <w:rFonts w:ascii="Calibri" w:cs="Calibri" w:eastAsia="Calibri" w:hAnsi="Calibri"/>
                <w:b/>
                <w:bCs/>
                <w:color w:val="FFFFFF"/>
                <w:sz w:val="18"/>
                <w:szCs w:val="18"/>
              </w:rPr>
              <w:t xml:space="preserve">Workstream</w:t>
            </w:r>
          </w:p>
        </w:tc>
        <w:tc>
          <w:tcPr>
            <w:tcW w:type="dxa" w:w="4118"/>
            <w:shd w:fill="1F3B57" w:val="clear"/>
            <w:tcMar>
              <w:top w:type="dxa" w:w="60"/>
              <w:left w:type="dxa" w:w="90"/>
              <w:bottom w:type="dxa" w:w="60"/>
              <w:right w:type="dxa" w:w="90"/>
            </w:tcMar>
            <w:vAlign w:val="center"/>
          </w:tcPr>
          <w:p>
            <w:pPr>
              <w:spacing w:after="40" w:line="240"/>
            </w:pPr>
            <w:r>
              <w:rPr>
                <w:rFonts w:ascii="Calibri" w:cs="Calibri" w:eastAsia="Calibri" w:hAnsi="Calibri"/>
                <w:b/>
                <w:bCs/>
                <w:color w:val="FFFFFF"/>
                <w:sz w:val="18"/>
                <w:szCs w:val="18"/>
              </w:rPr>
              <w:t xml:space="preserve">Output</w:t>
            </w:r>
          </w:p>
        </w:tc>
        <w:tc>
          <w:tcPr>
            <w:tcW w:type="dxa" w:w="1872"/>
            <w:shd w:fill="1F3B57" w:val="clear"/>
            <w:tcMar>
              <w:top w:type="dxa" w:w="60"/>
              <w:left w:type="dxa" w:w="90"/>
              <w:bottom w:type="dxa" w:w="60"/>
              <w:right w:type="dxa" w:w="90"/>
            </w:tcMar>
            <w:vAlign w:val="center"/>
          </w:tcPr>
          <w:p>
            <w:pPr>
              <w:spacing w:after="40" w:line="240"/>
            </w:pPr>
            <w:r>
              <w:rPr>
                <w:rFonts w:ascii="Calibri" w:cs="Calibri" w:eastAsia="Calibri" w:hAnsi="Calibri"/>
                <w:b/>
                <w:bCs/>
                <w:color w:val="FFFFFF"/>
                <w:sz w:val="18"/>
                <w:szCs w:val="18"/>
              </w:rPr>
              <w:t xml:space="preserve">Owner</w:t>
            </w:r>
          </w:p>
        </w:tc>
      </w:tr>
      <w:tr>
        <w:tc>
          <w:tcPr>
            <w:tcW w:type="dxa" w:w="1310"/>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Aug 20</w:t>
            </w:r>
          </w:p>
        </w:tc>
        <w:tc>
          <w:tcPr>
            <w:tcW w:type="dxa" w:w="2059"/>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Architecture workshop</w:t>
            </w:r>
          </w:p>
        </w:tc>
        <w:tc>
          <w:tcPr>
            <w:tcW w:type="dxa" w:w="4118"/>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Scope, model, plays, route principles and decision log agreed</w:t>
            </w:r>
          </w:p>
        </w:tc>
        <w:tc>
          <w:tcPr>
            <w:tcW w:type="dxa" w:w="1872"/>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Mark / Stephan</w:t>
            </w:r>
          </w:p>
        </w:tc>
      </w:tr>
      <w:tr>
        <w:tc>
          <w:tcPr>
            <w:tcW w:type="dxa" w:w="1310"/>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Week of Aug 17</w:t>
            </w:r>
          </w:p>
        </w:tc>
        <w:tc>
          <w:tcPr>
            <w:tcW w:type="dxa" w:w="2059"/>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Executive series setup</w:t>
            </w:r>
          </w:p>
        </w:tc>
        <w:tc>
          <w:tcPr>
            <w:tcW w:type="dxa" w:w="4118"/>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Title, attendees, agenda and asks to Amber; Southern Power catch-up scheduled</w:t>
            </w:r>
          </w:p>
        </w:tc>
        <w:tc>
          <w:tcPr>
            <w:tcW w:type="dxa" w:w="1872"/>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Mark / Stephan; Stephan</w:t>
            </w:r>
          </w:p>
        </w:tc>
      </w:tr>
      <w:tr>
        <w:tc>
          <w:tcPr>
            <w:tcW w:type="dxa" w:w="1310"/>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Aug 21 to 28</w:t>
            </w:r>
          </w:p>
        </w:tc>
        <w:tc>
          <w:tcPr>
            <w:tcW w:type="dxa" w:w="2059"/>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Current-state baseline</w:t>
            </w:r>
          </w:p>
        </w:tc>
        <w:tc>
          <w:tcPr>
            <w:tcW w:type="dxa" w:w="4118"/>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Activity map completed by all five businesses; every cell filled or confirmed empty</w:t>
            </w:r>
          </w:p>
        </w:tc>
        <w:tc>
          <w:tcPr>
            <w:tcW w:type="dxa" w:w="1872"/>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Stephan with functional leads</w:t>
            </w:r>
          </w:p>
        </w:tc>
      </w:tr>
      <w:tr>
        <w:tc>
          <w:tcPr>
            <w:tcW w:type="dxa" w:w="1310"/>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By Aug 28</w:t>
            </w:r>
          </w:p>
        </w:tc>
        <w:tc>
          <w:tcPr>
            <w:tcW w:type="dxa" w:w="2059"/>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OEM quality gates</w:t>
            </w:r>
          </w:p>
        </w:tc>
        <w:tc>
          <w:tcPr>
            <w:tcW w:type="dxa" w:w="4118"/>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Corrected message, revised 90-day plan, consolidated target map; outreach gate in force</w:t>
            </w:r>
          </w:p>
        </w:tc>
        <w:tc>
          <w:tcPr>
            <w:tcW w:type="dxa" w:w="1872"/>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Stephan / Mike Pitello</w:t>
            </w:r>
          </w:p>
        </w:tc>
      </w:tr>
      <w:tr>
        <w:tc>
          <w:tcPr>
            <w:tcW w:type="dxa" w:w="1310"/>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Event-driven</w:t>
            </w:r>
          </w:p>
        </w:tc>
        <w:tc>
          <w:tcPr>
            <w:tcW w:type="dxa" w:w="2059"/>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NRG debrief; proof verification; marketing governance</w:t>
            </w:r>
          </w:p>
        </w:tc>
        <w:tc>
          <w:tcPr>
            <w:tcW w:type="dxa" w:w="4118"/>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Written NRG read; labor proof verified or retired; collateral approval path agreed</w:t>
            </w:r>
          </w:p>
        </w:tc>
        <w:tc>
          <w:tcPr>
            <w:tcW w:type="dxa" w:w="1872"/>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Mark / Stephan; Stephan / Nedra; Stephan / Alan Colorito</w:t>
            </w:r>
          </w:p>
        </w:tc>
      </w:tr>
      <w:tr>
        <w:tc>
          <w:tcPr>
            <w:tcW w:type="dxa" w:w="1310"/>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Aug 24 to Sept 4</w:t>
            </w:r>
          </w:p>
        </w:tc>
        <w:tc>
          <w:tcPr>
            <w:tcW w:type="dxa" w:w="2059"/>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Evidence and sizing method</w:t>
            </w:r>
          </w:p>
        </w:tc>
        <w:tc>
          <w:tcPr>
            <w:tcW w:type="dxa" w:w="4118"/>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Sources, value pools, overlap rules and external support scoped for the September ask</w:t>
            </w:r>
          </w:p>
        </w:tc>
        <w:tc>
          <w:tcPr>
            <w:tcW w:type="dxa" w:w="1872"/>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Mark / Stephan / Finance-Strategy</w:t>
            </w:r>
          </w:p>
        </w:tc>
      </w:tr>
      <w:tr>
        <w:tc>
          <w:tcPr>
            <w:tcW w:type="dxa" w:w="1310"/>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Aug 31 to Sept 9</w:t>
            </w:r>
          </w:p>
        </w:tc>
        <w:tc>
          <w:tcPr>
            <w:tcW w:type="dxa" w:w="2059"/>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Priority playbooks</w:t>
            </w:r>
          </w:p>
        </w:tc>
        <w:tc>
          <w:tcPr>
            <w:tcW w:type="dxa" w:w="4118"/>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Where-to-play, how-to-win and route logic drafted for the four plays</w:t>
            </w:r>
          </w:p>
        </w:tc>
        <w:tc>
          <w:tcPr>
            <w:tcW w:type="dxa" w:w="1872"/>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Mark / Stephan / subject experts</w:t>
            </w:r>
          </w:p>
        </w:tc>
      </w:tr>
      <w:tr>
        <w:tc>
          <w:tcPr>
            <w:tcW w:type="dxa" w:w="1310"/>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Sept 10 to 16</w:t>
            </w:r>
          </w:p>
        </w:tc>
        <w:tc>
          <w:tcPr>
            <w:tcW w:type="dxa" w:w="2059"/>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Strategy version 0.1</w:t>
            </w:r>
          </w:p>
        </w:tc>
        <w:tc>
          <w:tcPr>
            <w:tcW w:type="dxa" w:w="4118"/>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Findings integrated; partners pre-wired; executive readout rehearsed</w:t>
            </w:r>
          </w:p>
        </w:tc>
        <w:tc>
          <w:tcPr>
            <w:tcW w:type="dxa" w:w="1872"/>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Mark / Stephan</w:t>
            </w:r>
          </w:p>
        </w:tc>
      </w:tr>
      <w:tr>
        <w:tc>
          <w:tcPr>
            <w:tcW w:type="dxa" w:w="1310"/>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Late September</w:t>
            </w:r>
          </w:p>
        </w:tc>
        <w:tc>
          <w:tcPr>
            <w:tcW w:type="dxa" w:w="2059"/>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Progress update</w:t>
            </w:r>
          </w:p>
        </w:tc>
        <w:tc>
          <w:tcPr>
            <w:tcW w:type="dxa" w:w="4118"/>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Leadership takes the five asks; functional leads named; next checkpoint set</w:t>
            </w:r>
          </w:p>
        </w:tc>
        <w:tc>
          <w:tcPr>
            <w:tcW w:type="dxa" w:w="1872"/>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Mark / Stephan / Amber</w:t>
            </w:r>
          </w:p>
        </w:tc>
      </w:tr>
    </w:tbl>
    <w:p>
      <w:pPr>
        <w:spacing w:after="140" w:line="264"/>
      </w:pPr>
      <w:r>
        <w:rPr>
          <w:rFonts w:ascii="Calibri" w:cs="Calibri" w:eastAsia="Calibri" w:hAnsi="Calibri"/>
          <w:b w:val="false"/>
          <w:bCs w:val="false"/>
          <w:i w:val="false"/>
          <w:iCs w:val="false"/>
          <w:color w:val="222222"/>
          <w:sz w:val="21"/>
          <w:szCs w:val="21"/>
        </w:rPr>
        <w:t xml:space="preserve">The critical path runs through the August 28 baseline. Every downstream artifact consumes it, so slippage escalates to Mark on August 28, not later. External events, meaning NRG’s response and Southern Power’s availability, are treated as inputs when they arrive; the September readout is written to stand without them.</w:t>
      </w:r>
    </w:p>
    <w:p>
      <w:pPr>
        <w:pStyle w:val="Heading1"/>
        <w:spacing w:after="160" w:before="320"/>
      </w:pPr>
      <w:r>
        <w:rPr>
          <w:rFonts w:ascii="Calibri" w:cs="Calibri" w:eastAsia="Calibri" w:hAnsi="Calibri"/>
          <w:b/>
          <w:bCs/>
          <w:color w:val="1F3B57"/>
          <w:sz w:val="30"/>
          <w:szCs w:val="30"/>
        </w:rPr>
        <w:t xml:space="preserve">Appendix: open questions that could change this document</w:t>
      </w:r>
    </w:p>
    <w:p>
      <w:pPr>
        <w:spacing w:after="140" w:line="264"/>
      </w:pPr>
      <w:r>
        <w:rPr>
          <w:rFonts w:ascii="Calibri" w:cs="Calibri" w:eastAsia="Calibri" w:hAnsi="Calibri"/>
          <w:b w:val="false"/>
          <w:bCs w:val="false"/>
          <w:i w:val="false"/>
          <w:iCs w:val="false"/>
          <w:color w:val="222222"/>
          <w:sz w:val="21"/>
          <w:szCs w:val="21"/>
        </w:rPr>
        <w:t xml:space="preserve">Ten questions carry the power to move the recommendation, each with a named validation vehicle and date in the evidence pack: the mandate’s origin and owner; the real content of the Utility and Renewables base; whether owners engage pre-BOM; what NRG’s hesitation actually was; whether Operations can commit capacity visibility; whether the labor proof verifies; where channels sit on the named accounts; the Data Center overlap; which sizing questions need paid research; and whether OEM targets already transact with Southwire elsewhere. Until they are answered, this document is a version 0 by design: strong enough to align leadership and start execution, honest enough to change when the evidence arrives.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5B6573"/>
        <w:sz w:val="15"/>
        <w:szCs w:val="15"/>
      </w:rPr>
      <w:t xml:space="preserve">Prepared for the Southwire Power Generation working session | August 2026</w:t>
    </w:r>
    <w:r>
      <w:rPr>
        <w:rFonts w:ascii="Calibri" w:cs="Calibri" w:eastAsia="Calibri" w:hAnsi="Calibri"/>
        <w:color w:val="5B6573"/>
        <w:sz w:val="15"/>
        <w:szCs w:val="15"/>
      </w:rPr>
      <w:t xml:space="preserve">	Page </w:t>
    </w:r>
    <w:r>
      <w:rPr>
        <w:rFonts w:ascii="Calibri" w:cs="Calibri" w:eastAsia="Calibri" w:hAnsi="Calibri"/>
        <w:color w:val="5B6573"/>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spacing w:after="60"/>
    </w:pPr>
    <w:r>
      <w:rPr>
        <w:rFonts w:ascii="Calibri" w:cs="Calibri" w:eastAsia="Calibri" w:hAnsi="Calibri"/>
        <w:b/>
        <w:bCs/>
        <w:color w:val="5B6573"/>
        <w:sz w:val="15"/>
        <w:szCs w:val="15"/>
      </w:rPr>
      <w:t xml:space="preserve">SOUTHWIRE | POWER GENERATION STRATEGY | VERSION 0</w:t>
    </w:r>
    <w:r>
      <w:rPr>
        <w:rFonts w:ascii="Calibri" w:cs="Calibri" w:eastAsia="Calibri" w:hAnsi="Calibri"/>
        <w:color w:val="5B6573"/>
        <w:sz w:val="15"/>
        <w:szCs w:val="15"/>
      </w:rPr>
      <w:t xml:space="preserve">	CONFIDENTIAL | WORKING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2026-08-18T02:16:10.420Z</dcterms:created>
  <dcterms:modified xsi:type="dcterms:W3CDTF">2026-08-18T02:16:10.420Z</dcterms:modified>
</cp:coreProperties>
</file>

<file path=docProps/custom.xml><?xml version="1.0" encoding="utf-8"?>
<Properties xmlns="http://schemas.openxmlformats.org/officeDocument/2006/custom-properties" xmlns:vt="http://schemas.openxmlformats.org/officeDocument/2006/docPropsVTypes"/>
</file>