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200"/>
      </w:pPr>
      <w:r>
        <w:rPr>
          <w:rFonts w:ascii="Calibri" w:cs="Calibri" w:eastAsia="Calibri" w:hAnsi="Calibri"/>
          <w:b/>
          <w:bCs/>
          <w:color w:val="0F6E84"/>
          <w:sz w:val="22"/>
          <w:szCs w:val="22"/>
        </w:rPr>
        <w:t xml:space="preserve">PROPOSAL | STRATEGY VALIDATION ENGAGEMENT</w:t>
      </w:r>
    </w:p>
    <w:p>
      <w:pPr>
        <w:spacing w:after="200"/>
      </w:pPr>
      <w:r>
        <w:rPr>
          <w:rFonts w:ascii="Calibri" w:cs="Calibri" w:eastAsia="Calibri" w:hAnsi="Calibri"/>
          <w:b/>
          <w:bCs/>
          <w:color w:val="1F3B57"/>
          <w:sz w:val="52"/>
          <w:szCs w:val="52"/>
        </w:rPr>
        <w:t xml:space="preserve">From Version 0 to a Defensible Enterprise Strategy</w:t>
      </w:r>
    </w:p>
    <w:p>
      <w:pPr>
        <w:spacing w:after="1200"/>
      </w:pPr>
      <w:r>
        <w:rPr>
          <w:rFonts w:ascii="Calibri" w:cs="Calibri" w:eastAsia="Calibri" w:hAnsi="Calibri"/>
          <w:color w:val="5B6573"/>
          <w:sz w:val="26"/>
          <w:szCs w:val="26"/>
        </w:rPr>
        <w:t xml:space="preserve">Proposal for the Power Generation validation and mobilization engagement, September to December 2026</w:t>
      </w:r>
    </w:p>
    <w:p>
      <w:pPr>
        <w:spacing w:after="80"/>
      </w:pPr>
      <w:r>
        <w:rPr>
          <w:rFonts w:ascii="Calibri" w:cs="Calibri" w:eastAsia="Calibri" w:hAnsi="Calibri"/>
          <w:color w:val="444444"/>
          <w:sz w:val="20"/>
          <w:szCs w:val="20"/>
        </w:rPr>
        <w:t xml:space="preserve">Prepared for: Mark Hall</w:t>
      </w:r>
    </w:p>
    <w:p>
      <w:pPr>
        <w:spacing w:after="80"/>
      </w:pPr>
      <w:r>
        <w:rPr>
          <w:rFonts w:ascii="Calibri" w:cs="Calibri" w:eastAsia="Calibri" w:hAnsi="Calibri"/>
          <w:color w:val="444444"/>
          <w:sz w:val="20"/>
          <w:szCs w:val="20"/>
        </w:rPr>
        <w:t xml:space="preserve">Prepared by: Stephan Hardt, Enterprise Strategy, acting as engagement lead</w:t>
      </w:r>
    </w:p>
    <w:p>
      <w:pPr>
        <w:spacing w:after="80"/>
      </w:pPr>
      <w:r>
        <w:rPr>
          <w:rFonts w:ascii="Calibri" w:cs="Calibri" w:eastAsia="Calibri" w:hAnsi="Calibri"/>
          <w:color w:val="444444"/>
          <w:sz w:val="20"/>
          <w:szCs w:val="20"/>
        </w:rPr>
        <w:t xml:space="preserve">Date: August 18, 2026</w:t>
      </w:r>
    </w:p>
    <w:p>
      <w:pPr>
        <w:spacing w:after="80"/>
      </w:pPr>
      <w:r>
        <w:rPr>
          <w:rFonts w:ascii="Calibri" w:cs="Calibri" w:eastAsia="Calibri" w:hAnsi="Calibri"/>
          <w:color w:val="444444"/>
          <w:sz w:val="20"/>
          <w:szCs w:val="20"/>
        </w:rPr>
        <w:t xml:space="preserve">Status: Draft for discussion at the August 20 working session</w:t>
      </w:r>
    </w:p>
    <w:p>
      <w:r>
        <w:br w:type="page"/>
      </w:r>
    </w:p>
    <w:p>
      <w:pPr>
        <w:pStyle w:val="Heading1"/>
        <w:spacing w:after="160" w:before="320"/>
      </w:pPr>
      <w:r>
        <w:rPr>
          <w:rFonts w:ascii="Calibri" w:cs="Calibri" w:eastAsia="Calibri" w:hAnsi="Calibri"/>
          <w:b/>
          <w:bCs/>
          <w:color w:val="1F3B57"/>
          <w:sz w:val="30"/>
          <w:szCs w:val="30"/>
        </w:rPr>
        <w:t xml:space="preserve">Engagement letter</w:t>
      </w:r>
    </w:p>
    <w:p>
      <w:pPr>
        <w:spacing w:after="140" w:line="264"/>
      </w:pPr>
      <w:r>
        <w:rPr>
          <w:rFonts w:ascii="Calibri" w:cs="Calibri" w:eastAsia="Calibri" w:hAnsi="Calibri"/>
          <w:b w:val="false"/>
          <w:bCs w:val="false"/>
          <w:i w:val="false"/>
          <w:iCs w:val="false"/>
          <w:color w:val="222222"/>
          <w:sz w:val="21"/>
          <w:szCs w:val="21"/>
        </w:rPr>
        <w:t xml:space="preserve">Mark,</w:t>
      </w:r>
    </w:p>
    <w:p>
      <w:pPr>
        <w:spacing w:after="140" w:line="264"/>
      </w:pPr>
      <w:r>
        <w:rPr>
          <w:rFonts w:ascii="Calibri" w:cs="Calibri" w:eastAsia="Calibri" w:hAnsi="Calibri"/>
          <w:b w:val="false"/>
          <w:bCs w:val="false"/>
          <w:i w:val="false"/>
          <w:iCs w:val="false"/>
          <w:color w:val="222222"/>
          <w:sz w:val="21"/>
          <w:szCs w:val="21"/>
        </w:rPr>
        <w:t xml:space="preserve">Thursday gives us a version-zero strategy: a spine, four plays, an operating model and a thirty-day plan. This proposal covers what comes next: the twelve to fourteen weeks that turn version zero into a strategy leadership can fund, staffed from inside the company, with external research support only where internal data cannot answer.</w:t>
      </w:r>
    </w:p>
    <w:p>
      <w:pPr>
        <w:spacing w:after="140" w:line="264"/>
      </w:pPr>
      <w:r>
        <w:rPr>
          <w:rFonts w:ascii="Calibri" w:cs="Calibri" w:eastAsia="Calibri" w:hAnsi="Calibri"/>
          <w:b w:val="false"/>
          <w:bCs w:val="false"/>
          <w:i w:val="false"/>
          <w:iCs w:val="false"/>
          <w:color w:val="222222"/>
          <w:sz w:val="21"/>
          <w:szCs w:val="21"/>
        </w:rPr>
        <w:t xml:space="preserve">The engagement is designed around one discipline. Every claim the final strategy makes will be traceable: sourced, dated, bounded and carried with a confidence range. The version-zero pack was built refusing to invent numbers, and the validation phase earns the numbers instead. That is what makes the September, October and November leadership updates defensible rather than decorative.</w:t>
      </w:r>
    </w:p>
    <w:p>
      <w:pPr>
        <w:spacing w:after="140" w:line="264"/>
      </w:pPr>
      <w:r>
        <w:rPr>
          <w:rFonts w:ascii="Calibri" w:cs="Calibri" w:eastAsia="Calibri" w:hAnsi="Calibri"/>
          <w:b w:val="false"/>
          <w:bCs w:val="false"/>
          <w:i w:val="false"/>
          <w:iCs w:val="false"/>
          <w:color w:val="222222"/>
          <w:sz w:val="21"/>
          <w:szCs w:val="21"/>
        </w:rPr>
        <w:t xml:space="preserve">Everything below is sized to run inside the current organization. No new headcount is requested. The single external spend decision, third-party market research, is scoped in module B and brought to leadership as a costed ask at the late-September update.</w:t>
      </w:r>
    </w:p>
    <w:p>
      <w:pPr>
        <w:spacing w:after="140" w:line="264"/>
      </w:pPr>
      <w:r>
        <w:rPr>
          <w:rFonts w:ascii="Calibri" w:cs="Calibri" w:eastAsia="Calibri" w:hAnsi="Calibri"/>
          <w:b w:val="false"/>
          <w:bCs w:val="false"/>
          <w:i w:val="false"/>
          <w:iCs w:val="false"/>
          <w:color w:val="222222"/>
          <w:sz w:val="21"/>
          <w:szCs w:val="21"/>
        </w:rPr>
        <w:t xml:space="preserve">Stephan</w:t>
      </w:r>
    </w:p>
    <w:p>
      <w:pPr>
        <w:pStyle w:val="Heading1"/>
        <w:spacing w:after="160" w:before="320"/>
      </w:pPr>
      <w:r>
        <w:rPr>
          <w:rFonts w:ascii="Calibri" w:cs="Calibri" w:eastAsia="Calibri" w:hAnsi="Calibri"/>
          <w:b/>
          <w:bCs/>
          <w:color w:val="1F3B57"/>
          <w:sz w:val="30"/>
          <w:szCs w:val="30"/>
        </w:rPr>
        <w:t xml:space="preserve">1. Context and objectives</w:t>
      </w:r>
    </w:p>
    <w:p>
      <w:pPr>
        <w:spacing w:after="140" w:line="264"/>
      </w:pPr>
      <w:r>
        <w:rPr>
          <w:rFonts w:ascii="Calibri" w:cs="Calibri" w:eastAsia="Calibri" w:hAnsi="Calibri"/>
          <w:b w:val="false"/>
          <w:bCs w:val="false"/>
          <w:i w:val="false"/>
          <w:iCs w:val="false"/>
          <w:color w:val="222222"/>
          <w:sz w:val="21"/>
          <w:szCs w:val="21"/>
        </w:rPr>
        <w:t xml:space="preserve">Southwire has been asked to take company-wide ownership of the Power Generation strategy. The working session of August 20 is expected to agree a scope, an operating model, four priority plays, route-to-market principles and a thirty-day mobilization. What it cannot produce is evidence: the current evidence base is a single internal brief, no account has progressed past the Engaged stage, and the sole outcome proof is unverified.</w:t>
      </w:r>
    </w:p>
    <w:p>
      <w:pPr>
        <w:spacing w:after="140" w:line="264"/>
      </w:pPr>
      <w:r>
        <w:rPr>
          <w:rFonts w:ascii="Calibri" w:cs="Calibri" w:eastAsia="Calibri" w:hAnsi="Calibri"/>
          <w:b w:val="false"/>
          <w:bCs w:val="false"/>
          <w:i w:val="false"/>
          <w:iCs w:val="false"/>
          <w:color w:val="222222"/>
          <w:sz w:val="21"/>
          <w:szCs w:val="21"/>
        </w:rPr>
        <w:t xml:space="preserve">The engagement therefore has four objectives:</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Establish the factual baseline of Southwire’s Power Generation position: accounts, projects, stages, capabilities, channels and constraints, accepted by all five businesses.</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Validate the strategy’s three load-bearing assumptions: that owners engage a materials partner before the bill of material is fixed, that Operations can commit capacity visibility at project scale, and that the labor-productivity proof survives verification or is replaced.</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Build the market evidence: value-pool sizing on the five-dimension architecture, project visibility for the accelerate plays, and the EPC/OE and OEM landscapes.</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Operationalize the federated platform: pipeline definitions in use, pursuit protocol running on live opportunities, and a leadership cadence that takes decisions rather than briefings.</w:t>
      </w:r>
    </w:p>
    <w:p>
      <w:pPr>
        <w:pStyle w:val="Heading1"/>
        <w:spacing w:after="160" w:before="320"/>
      </w:pPr>
      <w:r>
        <w:rPr>
          <w:rFonts w:ascii="Calibri" w:cs="Calibri" w:eastAsia="Calibri" w:hAnsi="Calibri"/>
          <w:b/>
          <w:bCs/>
          <w:color w:val="1F3B57"/>
          <w:sz w:val="30"/>
          <w:szCs w:val="30"/>
        </w:rPr>
        <w:t xml:space="preserve">2. Scope of work</w:t>
      </w:r>
    </w:p>
    <w:p>
      <w:pPr>
        <w:spacing w:after="140" w:line="264"/>
      </w:pPr>
      <w:r>
        <w:rPr>
          <w:rFonts w:ascii="Calibri" w:cs="Calibri" w:eastAsia="Calibri" w:hAnsi="Calibri"/>
          <w:b w:val="false"/>
          <w:bCs w:val="false"/>
          <w:i w:val="false"/>
          <w:iCs w:val="false"/>
          <w:color w:val="222222"/>
          <w:sz w:val="21"/>
          <w:szCs w:val="21"/>
        </w:rPr>
        <w:t xml:space="preserve">Five modules. Each names its deliverable, its owner and its dependency. Module A is the critical path for everything else.</w:t>
      </w:r>
    </w:p>
    <w:p>
      <w:pPr>
        <w:spacing w:after="100" w:before="200"/>
      </w:pPr>
      <w:r>
        <w:rPr>
          <w:rFonts w:ascii="Calibri" w:cs="Calibri" w:eastAsia="Calibri" w:hAnsi="Calibri"/>
          <w:b/>
          <w:bCs/>
          <w:color w:val="0F6E84"/>
          <w:sz w:val="20"/>
          <w:szCs w:val="20"/>
        </w:rPr>
        <w:t xml:space="preserve">Exhibit 1. </w:t>
      </w:r>
      <w:r>
        <w:rPr>
          <w:rFonts w:ascii="Calibri" w:cs="Calibri" w:eastAsia="Calibri" w:hAnsi="Calibri"/>
          <w:b/>
          <w:bCs/>
          <w:color w:val="222222"/>
          <w:sz w:val="20"/>
          <w:szCs w:val="20"/>
        </w:rPr>
        <w:t xml:space="preserve">Modules and deliverables</w:t>
      </w:r>
    </w:p>
    <w:tbl>
      <w:tblPr>
        <w:tblW w:type="dxa" w:w="9360"/>
        <w:tblBorders>
          <w:top w:val="single" w:color="C9D2DB" w:sz="4"/>
          <w:left w:val="single" w:color="C9D2DB" w:sz="4"/>
          <w:bottom w:val="single" w:color="C9D2DB" w:sz="4"/>
          <w:right w:val="single" w:color="C9D2DB" w:sz="4"/>
          <w:insideH w:val="single" w:color="C9D2DB" w:sz="4"/>
          <w:insideV w:val="single" w:color="C9D2DB" w:sz="4"/>
        </w:tblBorders>
      </w:tblPr>
      <w:tblGrid>
        <w:gridCol w:w="1872"/>
        <w:gridCol w:w="2995"/>
        <w:gridCol w:w="2621"/>
        <w:gridCol w:w="1872"/>
      </w:tblGrid>
      <w:tr>
        <w:trPr>
          <w:tblHeader/>
        </w:trPr>
        <w:tc>
          <w:tcPr>
            <w:tcW w:type="dxa" w:w="1872"/>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Module</w:t>
            </w:r>
          </w:p>
        </w:tc>
        <w:tc>
          <w:tcPr>
            <w:tcW w:type="dxa" w:w="2995"/>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Scope</w:t>
            </w:r>
          </w:p>
        </w:tc>
        <w:tc>
          <w:tcPr>
            <w:tcW w:type="dxa" w:w="2621"/>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Deliverables</w:t>
            </w:r>
          </w:p>
        </w:tc>
        <w:tc>
          <w:tcPr>
            <w:tcW w:type="dxa" w:w="1872"/>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Led by</w:t>
            </w:r>
          </w:p>
        </w:tc>
      </w:tr>
      <w:tr>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A. Current-state baseline and pipeline definitions</w:t>
            </w:r>
          </w:p>
        </w:tc>
        <w:tc>
          <w:tcPr>
            <w:tcW w:type="dxa" w:w="299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Structured data request to Utility, Renewables, Industrial/EPC, Data Center and OEM; consolidation; adoption of the stage ladder and pipeline definitions</w:t>
            </w:r>
          </w:p>
        </w:tc>
        <w:tc>
          <w:tcPr>
            <w:tcW w:type="dxa" w:w="2621"/>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Accepted enterprise activity map; published pipeline definitions; first consolidated pipeline view</w:t>
            </w:r>
          </w:p>
        </w:tc>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Stephan with functional leads</w:t>
            </w:r>
          </w:p>
        </w:tc>
      </w:tr>
      <w:tr>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B. Market evidence and sizing</w:t>
            </w:r>
          </w:p>
        </w:tc>
        <w:tc>
          <w:tcPr>
            <w:tcW w:type="dxa" w:w="299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Value pools on the five-dimension architecture; IPP project visibility; EPC/OE landscape; OEM landscape cross-check; external research scoped, costed and, on approval, commissioned</w:t>
            </w:r>
          </w:p>
        </w:tc>
        <w:tc>
          <w:tcPr>
            <w:tcW w:type="dxa" w:w="2621"/>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Sizing method document; costed research ask for leadership; value-pool estimates with confidence ranges</w:t>
            </w:r>
          </w:p>
        </w:tc>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Finance/Strategy with Stephan</w:t>
            </w:r>
          </w:p>
        </w:tc>
      </w:tr>
      <w:tr>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C. Customer validation program</w:t>
            </w:r>
          </w:p>
        </w:tc>
        <w:tc>
          <w:tcPr>
            <w:tcW w:type="dxa" w:w="299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NRG debrief; Southern Power discovery; CPV approach; structured discovery guide testing urgency, control points and buying behavior</w:t>
            </w:r>
          </w:p>
        </w:tc>
        <w:tc>
          <w:tcPr>
            <w:tcW w:type="dxa" w:w="2621"/>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Three written discovery reads; validated or revised early-entry premise; revised role and route narrative</w:t>
            </w:r>
          </w:p>
        </w:tc>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Stephan; Mark on executive touchpoints</w:t>
            </w:r>
          </w:p>
        </w:tc>
      </w:tr>
      <w:tr>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 Play validation and playbooks</w:t>
            </w:r>
          </w:p>
        </w:tc>
        <w:tc>
          <w:tcPr>
            <w:tcW w:type="dxa" w:w="2995"/>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OEM gates closed and outreach released; labor proof verified or retired; Operations capacity truth; four playbooks drafted from evidence</w:t>
            </w:r>
          </w:p>
        </w:tc>
        <w:tc>
          <w:tcPr>
            <w:tcW w:type="dxa" w:w="2621"/>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Four playbooks; verified proof inventory; capacity and readiness statement from Operations</w:t>
            </w:r>
          </w:p>
        </w:tc>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Play leads: Pitello (OEM), Nedra (proof), Operations lead (capacity)</w:t>
            </w:r>
          </w:p>
        </w:tc>
      </w:tr>
      <w:tr>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 Operating model and governance</w:t>
            </w:r>
          </w:p>
        </w:tc>
        <w:tc>
          <w:tcPr>
            <w:tcW w:type="dxa" w:w="2995"/>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Pursuit protocol live on real opportunities; conflict escalation running; marketing governance agreed; monthly leadership series executed</w:t>
            </w:r>
          </w:p>
        </w:tc>
        <w:tc>
          <w:tcPr>
            <w:tcW w:type="dxa" w:w="2621"/>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Running pursuit protocol; governance one-pager with Colorito; three leadership updates with decisions taken</w:t>
            </w:r>
          </w:p>
        </w:tc>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Stephan; Mark as escalation point; Amber logistics</w:t>
            </w:r>
          </w:p>
        </w:tc>
      </w:tr>
    </w:tbl>
    <w:p>
      <w:pPr>
        <w:pStyle w:val="Heading2"/>
        <w:spacing w:after="120" w:before="240"/>
      </w:pPr>
      <w:r>
        <w:rPr>
          <w:rFonts w:ascii="Calibri" w:cs="Calibri" w:eastAsia="Calibri" w:hAnsi="Calibri"/>
          <w:b/>
          <w:bCs/>
          <w:color w:val="0F6E84"/>
          <w:sz w:val="24"/>
          <w:szCs w:val="24"/>
        </w:rPr>
        <w:t xml:space="preserve">Out of scope</w:t>
      </w:r>
    </w:p>
    <w:p>
      <w:pPr>
        <w:spacing w:after="140" w:line="264"/>
      </w:pPr>
      <w:r>
        <w:rPr>
          <w:rFonts w:ascii="Calibri" w:cs="Calibri" w:eastAsia="Calibri" w:hAnsi="Calibri"/>
          <w:b w:val="false"/>
          <w:bCs w:val="false"/>
          <w:i w:val="false"/>
          <w:iCs w:val="false"/>
          <w:color w:val="222222"/>
          <w:sz w:val="21"/>
          <w:szCs w:val="21"/>
        </w:rPr>
        <w:t xml:space="preserve">Organization design, headcount, compensation and channel-agreement changes; CRM system configuration beyond definitions; marketing asset production; nuclear qualification beyond a scoping note; any customer-facing commitment outside the existing pursuit gates. Each parked item carries an owner and a return window in the open-questions register.</w:t>
      </w:r>
    </w:p>
    <w:p>
      <w:r>
        <w:br w:type="page"/>
      </w:r>
    </w:p>
    <w:p>
      <w:pPr>
        <w:pStyle w:val="Heading1"/>
        <w:spacing w:after="160" w:before="320"/>
      </w:pPr>
      <w:r>
        <w:rPr>
          <w:rFonts w:ascii="Calibri" w:cs="Calibri" w:eastAsia="Calibri" w:hAnsi="Calibri"/>
          <w:b/>
          <w:bCs/>
          <w:color w:val="1F3B57"/>
          <w:sz w:val="30"/>
          <w:szCs w:val="30"/>
        </w:rPr>
        <w:t xml:space="preserve">3. Approach and workplan</w:t>
      </w:r>
    </w:p>
    <w:p>
      <w:pPr>
        <w:spacing w:after="140" w:line="264"/>
      </w:pPr>
      <w:r>
        <w:rPr>
          <w:rFonts w:ascii="Calibri" w:cs="Calibri" w:eastAsia="Calibri" w:hAnsi="Calibri"/>
          <w:b w:val="false"/>
          <w:bCs w:val="false"/>
          <w:i w:val="false"/>
          <w:iCs w:val="false"/>
          <w:color w:val="222222"/>
          <w:sz w:val="21"/>
          <w:szCs w:val="21"/>
        </w:rPr>
        <w:t xml:space="preserve">Fourteen weeks in three phases, matching the calendar already agreed in the thirty-day plan and extending it through the year-end review.</w:t>
      </w:r>
    </w:p>
    <w:p>
      <w:pPr>
        <w:spacing w:after="100" w:before="200"/>
      </w:pPr>
      <w:r>
        <w:rPr>
          <w:rFonts w:ascii="Calibri" w:cs="Calibri" w:eastAsia="Calibri" w:hAnsi="Calibri"/>
          <w:b/>
          <w:bCs/>
          <w:color w:val="0F6E84"/>
          <w:sz w:val="20"/>
          <w:szCs w:val="20"/>
        </w:rPr>
        <w:t xml:space="preserve">Exhibit 2. </w:t>
      </w:r>
      <w:r>
        <w:rPr>
          <w:rFonts w:ascii="Calibri" w:cs="Calibri" w:eastAsia="Calibri" w:hAnsi="Calibri"/>
          <w:b/>
          <w:bCs/>
          <w:color w:val="222222"/>
          <w:sz w:val="20"/>
          <w:szCs w:val="20"/>
        </w:rPr>
        <w:t xml:space="preserve">Phased workplan</w:t>
      </w:r>
    </w:p>
    <w:tbl>
      <w:tblPr>
        <w:tblW w:type="dxa" w:w="9360"/>
        <w:tblBorders>
          <w:top w:val="single" w:color="C9D2DB" w:sz="4"/>
          <w:left w:val="single" w:color="C9D2DB" w:sz="4"/>
          <w:bottom w:val="single" w:color="C9D2DB" w:sz="4"/>
          <w:right w:val="single" w:color="C9D2DB" w:sz="4"/>
          <w:insideH w:val="single" w:color="C9D2DB" w:sz="4"/>
          <w:insideV w:val="single" w:color="C9D2DB" w:sz="4"/>
        </w:tblBorders>
      </w:tblPr>
      <w:tblGrid>
        <w:gridCol w:w="1872"/>
        <w:gridCol w:w="1872"/>
        <w:gridCol w:w="3557"/>
        <w:gridCol w:w="2059"/>
      </w:tblGrid>
      <w:tr>
        <w:trPr>
          <w:tblHeader/>
        </w:trPr>
        <w:tc>
          <w:tcPr>
            <w:tcW w:type="dxa" w:w="1872"/>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Phase</w:t>
            </w:r>
          </w:p>
        </w:tc>
        <w:tc>
          <w:tcPr>
            <w:tcW w:type="dxa" w:w="1872"/>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Weeks</w:t>
            </w:r>
          </w:p>
        </w:tc>
        <w:tc>
          <w:tcPr>
            <w:tcW w:type="dxa" w:w="3557"/>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Focus</w:t>
            </w:r>
          </w:p>
        </w:tc>
        <w:tc>
          <w:tcPr>
            <w:tcW w:type="dxa" w:w="2059"/>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Gate at the end</w:t>
            </w:r>
          </w:p>
        </w:tc>
      </w:tr>
      <w:tr>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Phase 1: Baseline and gates</w:t>
            </w:r>
          </w:p>
        </w:tc>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Weeks 1 to 2 (Aug 21 to Sept 4)</w:t>
            </w:r>
          </w:p>
        </w:tc>
        <w:tc>
          <w:tcPr>
            <w:tcW w:type="dxa" w:w="3557"/>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Module A data collection; OEM quality gates; sizing method; discovery scheduling</w:t>
            </w:r>
          </w:p>
        </w:tc>
        <w:tc>
          <w:tcPr>
            <w:tcW w:type="dxa" w:w="2059"/>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Baseline accepted by all five businesses; gates cleared or escalated</w:t>
            </w:r>
          </w:p>
        </w:tc>
      </w:tr>
      <w:tr>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Phase 2: Validation</w:t>
            </w:r>
          </w:p>
        </w:tc>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Weeks 3 to 6 (Sept 7 to Oct 2)</w:t>
            </w:r>
          </w:p>
        </w:tc>
        <w:tc>
          <w:tcPr>
            <w:tcW w:type="dxa" w:w="3557"/>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Discovery conversations; proof verification; capacity truth; playbook drafting; September leadership update takes the five asks</w:t>
            </w:r>
          </w:p>
        </w:tc>
        <w:tc>
          <w:tcPr>
            <w:tcW w:type="dxa" w:w="2059"/>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Leadership confirms scope, model, plays, leads and research funding</w:t>
            </w:r>
          </w:p>
        </w:tc>
      </w:tr>
      <w:tr>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Phase 3: Evidence build and operating proof</w:t>
            </w:r>
          </w:p>
        </w:tc>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Weeks 7 to 14 (Oct 5 to Nov 27)</w:t>
            </w:r>
          </w:p>
        </w:tc>
        <w:tc>
          <w:tcPr>
            <w:tcW w:type="dxa" w:w="3557"/>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External research runs; value pools land; pursuit protocol proves itself on live opportunities; October and November updates take decisions</w:t>
            </w:r>
          </w:p>
        </w:tc>
        <w:tc>
          <w:tcPr>
            <w:tcW w:type="dxa" w:w="2059"/>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Two-quarter review package: evidence-based verdict on the federated model and the portfolio</w:t>
            </w:r>
          </w:p>
        </w:tc>
      </w:tr>
    </w:tbl>
    <w:p>
      <w:pPr>
        <w:spacing w:after="140" w:line="264"/>
      </w:pPr>
      <w:r>
        <w:rPr>
          <w:rFonts w:ascii="Calibri" w:cs="Calibri" w:eastAsia="Calibri" w:hAnsi="Calibri"/>
          <w:b w:val="false"/>
          <w:bCs w:val="false"/>
          <w:i w:val="false"/>
          <w:iCs w:val="false"/>
          <w:color w:val="222222"/>
          <w:sz w:val="21"/>
          <w:szCs w:val="21"/>
        </w:rPr>
        <w:t xml:space="preserve">Weekly rhythm: a thirty-minute working check between Mark and Stephan; module leads report by exception; anything blocked for more than one week escalates rather than waits. The monthly leadership update is the decision forum, and every update carries explicit asks.</w:t>
      </w:r>
    </w:p>
    <w:p>
      <w:pPr>
        <w:pStyle w:val="Heading1"/>
        <w:spacing w:after="160" w:before="320"/>
      </w:pPr>
      <w:r>
        <w:rPr>
          <w:rFonts w:ascii="Calibri" w:cs="Calibri" w:eastAsia="Calibri" w:hAnsi="Calibri"/>
          <w:b/>
          <w:bCs/>
          <w:color w:val="1F3B57"/>
          <w:sz w:val="30"/>
          <w:szCs w:val="30"/>
        </w:rPr>
        <w:t xml:space="preserve">4. Team and governance</w:t>
      </w:r>
    </w:p>
    <w:p>
      <w:pPr>
        <w:spacing w:after="100" w:before="200"/>
      </w:pPr>
      <w:r>
        <w:rPr>
          <w:rFonts w:ascii="Calibri" w:cs="Calibri" w:eastAsia="Calibri" w:hAnsi="Calibri"/>
          <w:b/>
          <w:bCs/>
          <w:color w:val="0F6E84"/>
          <w:sz w:val="20"/>
          <w:szCs w:val="20"/>
        </w:rPr>
        <w:t xml:space="preserve">Exhibit 3. </w:t>
      </w:r>
      <w:r>
        <w:rPr>
          <w:rFonts w:ascii="Calibri" w:cs="Calibri" w:eastAsia="Calibri" w:hAnsi="Calibri"/>
          <w:b/>
          <w:bCs/>
          <w:color w:val="222222"/>
          <w:sz w:val="20"/>
          <w:szCs w:val="20"/>
        </w:rPr>
        <w:t xml:space="preserve">Roles</w:t>
      </w:r>
    </w:p>
    <w:tbl>
      <w:tblPr>
        <w:tblW w:type="dxa" w:w="9360"/>
        <w:tblBorders>
          <w:top w:val="single" w:color="C9D2DB" w:sz="4"/>
          <w:left w:val="single" w:color="C9D2DB" w:sz="4"/>
          <w:bottom w:val="single" w:color="C9D2DB" w:sz="4"/>
          <w:right w:val="single" w:color="C9D2DB" w:sz="4"/>
          <w:insideH w:val="single" w:color="C9D2DB" w:sz="4"/>
          <w:insideV w:val="single" w:color="C9D2DB" w:sz="4"/>
        </w:tblBorders>
      </w:tblPr>
      <w:tblGrid>
        <w:gridCol w:w="1872"/>
        <w:gridCol w:w="4680"/>
        <w:gridCol w:w="2808"/>
      </w:tblGrid>
      <w:tr>
        <w:trPr>
          <w:tblHeader/>
        </w:trPr>
        <w:tc>
          <w:tcPr>
            <w:tcW w:type="dxa" w:w="1872"/>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Role</w:t>
            </w:r>
          </w:p>
        </w:tc>
        <w:tc>
          <w:tcPr>
            <w:tcW w:type="dxa" w:w="4680"/>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Who</w:t>
            </w:r>
          </w:p>
        </w:tc>
        <w:tc>
          <w:tcPr>
            <w:tcW w:type="dxa" w:w="2808"/>
            <w:shd w:fill="1F3B57" w:val="clear"/>
            <w:tcMar>
              <w:top w:type="dxa" w:w="60"/>
              <w:left w:type="dxa" w:w="90"/>
              <w:bottom w:type="dxa" w:w="60"/>
              <w:right w:type="dxa" w:w="90"/>
            </w:tcMar>
            <w:vAlign w:val="center"/>
          </w:tcPr>
          <w:p>
            <w:pPr>
              <w:spacing w:after="40" w:line="240"/>
            </w:pPr>
            <w:r>
              <w:rPr>
                <w:rFonts w:ascii="Calibri" w:cs="Calibri" w:eastAsia="Calibri" w:hAnsi="Calibri"/>
                <w:b/>
                <w:bCs/>
                <w:color w:val="FFFFFF"/>
                <w:sz w:val="18"/>
                <w:szCs w:val="18"/>
              </w:rPr>
              <w:t xml:space="preserve">Commitment</w:t>
            </w:r>
          </w:p>
        </w:tc>
      </w:tr>
      <w:tr>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Executive sponsor</w:t>
            </w:r>
          </w:p>
        </w:tc>
        <w:tc>
          <w:tcPr>
            <w:tcW w:type="dxa" w:w="468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Mark Hall</w:t>
            </w:r>
          </w:p>
        </w:tc>
        <w:tc>
          <w:tcPr>
            <w:tcW w:type="dxa" w:w="280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Weekly check; escalation decisions inside one week; chairs leadership updates</w:t>
            </w:r>
          </w:p>
        </w:tc>
      </w:tr>
      <w:tr>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Engagement lead</w:t>
            </w:r>
          </w:p>
        </w:tc>
        <w:tc>
          <w:tcPr>
            <w:tcW w:type="dxa" w:w="4680"/>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Stephan Hardt</w:t>
            </w:r>
          </w:p>
        </w:tc>
        <w:tc>
          <w:tcPr>
            <w:tcW w:type="dxa" w:w="280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Full-time equivalent across all modules; single point of accountability</w:t>
            </w:r>
          </w:p>
        </w:tc>
      </w:tr>
      <w:tr>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Module leads</w:t>
            </w:r>
          </w:p>
        </w:tc>
        <w:tc>
          <w:tcPr>
            <w:tcW w:type="dxa" w:w="468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Finance/Strategy lead (B); Mike Pitello (OEM in D); Nedra (proof in D); Operations lead (capacity in D); Alan Colorito (governance in E)</w:t>
            </w:r>
          </w:p>
        </w:tc>
        <w:tc>
          <w:tcPr>
            <w:tcW w:type="dxa" w:w="280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Part-time, deliverable-based</w:t>
            </w:r>
          </w:p>
        </w:tc>
      </w:tr>
      <w:tr>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Business contributors</w:t>
            </w:r>
          </w:p>
        </w:tc>
        <w:tc>
          <w:tcPr>
            <w:tcW w:type="dxa" w:w="4680"/>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Utility, Renewables, Industrial/EPC, Data Center leads: names to be confirmed by Mark or at the September update</w:t>
            </w:r>
          </w:p>
        </w:tc>
        <w:tc>
          <w:tcPr>
            <w:tcW w:type="dxa" w:w="280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Baseline inputs, playbook review, pursuit participation</w:t>
            </w:r>
          </w:p>
        </w:tc>
      </w:tr>
      <w:tr>
        <w:tc>
          <w:tcPr>
            <w:tcW w:type="dxa" w:w="1872"/>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Series coordination</w:t>
            </w:r>
          </w:p>
        </w:tc>
        <w:tc>
          <w:tcPr>
            <w:tcW w:type="dxa" w:w="4680"/>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Amber</w:t>
            </w:r>
          </w:p>
        </w:tc>
        <w:tc>
          <w:tcPr>
            <w:tcW w:type="dxa" w:w="2808"/>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Leadership series logistics</w:t>
            </w:r>
          </w:p>
        </w:tc>
      </w:tr>
      <w:tr>
        <w:tc>
          <w:tcPr>
            <w:tcW w:type="dxa" w:w="1872"/>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External support</w:t>
            </w:r>
          </w:p>
        </w:tc>
        <w:tc>
          <w:tcPr>
            <w:tcW w:type="dxa" w:w="4680"/>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Aslan advisor (OEM preparation); market research provider to be selected on approval of the module B ask</w:t>
            </w:r>
          </w:p>
        </w:tc>
        <w:tc>
          <w:tcPr>
            <w:tcW w:type="dxa" w:w="2808"/>
            <w:shd w:fill="EDF1F5" w:val="clear"/>
            <w:tcMar>
              <w:top w:type="dxa" w:w="50"/>
              <w:left w:type="dxa" w:w="90"/>
              <w:bottom w:type="dxa" w:w="50"/>
              <w:right w:type="dxa" w:w="90"/>
            </w:tcMar>
          </w:tcPr>
          <w:p>
            <w:pPr>
              <w:spacing w:after="40" w:line="240"/>
            </w:pPr>
            <w:r>
              <w:rPr>
                <w:rFonts w:ascii="Calibri" w:cs="Calibri" w:eastAsia="Calibri" w:hAnsi="Calibri"/>
                <w:b w:val="false"/>
                <w:bCs w:val="false"/>
                <w:color w:val="222222"/>
                <w:sz w:val="18"/>
                <w:szCs w:val="18"/>
              </w:rPr>
              <w:t xml:space="preserve">As scoped per module</w:t>
            </w:r>
          </w:p>
        </w:tc>
      </w:tr>
    </w:tbl>
    <w:p>
      <w:pPr>
        <w:spacing w:after="140" w:line="264"/>
      </w:pPr>
      <w:r>
        <w:rPr>
          <w:rFonts w:ascii="Calibri" w:cs="Calibri" w:eastAsia="Calibri" w:hAnsi="Calibri"/>
          <w:b w:val="false"/>
          <w:bCs w:val="false"/>
          <w:i w:val="false"/>
          <w:iCs w:val="false"/>
          <w:color w:val="222222"/>
          <w:sz w:val="21"/>
          <w:szCs w:val="21"/>
        </w:rPr>
        <w:t xml:space="preserve">Decision rights during the engagement follow the federated model: module leads decide inside their modules; cross-business questions go to the pursuit protocol; unresolved conflicts go to Mark; structural questions go to the leadership update. Nothing in the engagement changes account ownership, pricing authority or revenue booking.</w:t>
      </w:r>
    </w:p>
    <w:p>
      <w:pPr>
        <w:pStyle w:val="Heading1"/>
        <w:spacing w:after="160" w:before="320"/>
      </w:pPr>
      <w:r>
        <w:rPr>
          <w:rFonts w:ascii="Calibri" w:cs="Calibri" w:eastAsia="Calibri" w:hAnsi="Calibri"/>
          <w:b/>
          <w:bCs/>
          <w:color w:val="1F3B57"/>
          <w:sz w:val="30"/>
          <w:szCs w:val="30"/>
        </w:rPr>
        <w:t xml:space="preserve">5. Investment</w:t>
      </w:r>
    </w:p>
    <w:p>
      <w:pPr>
        <w:spacing w:after="140" w:line="264"/>
      </w:pPr>
      <w:r>
        <w:rPr>
          <w:rFonts w:ascii="Calibri" w:cs="Calibri" w:eastAsia="Calibri" w:hAnsi="Calibri"/>
          <w:b w:val="false"/>
          <w:bCs w:val="false"/>
          <w:i w:val="false"/>
          <w:iCs w:val="false"/>
          <w:color w:val="222222"/>
          <w:sz w:val="21"/>
          <w:szCs w:val="21"/>
        </w:rPr>
        <w:t xml:space="preserve">Internal cost is time, not budget: one full-time equivalent (engagement lead), part-time module leads, and roughly thirty minutes to two hours per week from each contributing business during phases 1 and 2.</w:t>
      </w:r>
    </w:p>
    <w:p>
      <w:pPr>
        <w:spacing w:after="140" w:line="264"/>
      </w:pPr>
      <w:r>
        <w:rPr>
          <w:rFonts w:ascii="Calibri" w:cs="Calibri" w:eastAsia="Calibri" w:hAnsi="Calibri"/>
          <w:b w:val="false"/>
          <w:bCs w:val="false"/>
          <w:i w:val="false"/>
          <w:iCs w:val="false"/>
          <w:color w:val="222222"/>
          <w:sz w:val="21"/>
          <w:szCs w:val="21"/>
        </w:rPr>
        <w:t xml:space="preserve">External cost has two components, both to be approved rather than assumed: continuation of the Aslan advisory support for OEM preparation on its existing terms, and third-party market research for module B. The research requirement is deliberately not estimated here; module B’s first deliverable is the scoped, costed ask itself, brought to the late-September update for approval. Committing a figure before the scoping work would repeat the exact discipline failure this engagement exists to prevent.</w:t>
      </w:r>
    </w:p>
    <w:p>
      <w:pPr>
        <w:pStyle w:val="Heading1"/>
        <w:spacing w:after="160" w:before="320"/>
      </w:pPr>
      <w:r>
        <w:rPr>
          <w:rFonts w:ascii="Calibri" w:cs="Calibri" w:eastAsia="Calibri" w:hAnsi="Calibri"/>
          <w:b/>
          <w:bCs/>
          <w:color w:val="1F3B57"/>
          <w:sz w:val="30"/>
          <w:szCs w:val="30"/>
        </w:rPr>
        <w:t xml:space="preserve">6. What success looks like</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A baseline every business has signed, replacing five private pictures with one enterprise view.</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The three load-bearing assumptions tested with written evidence, and the strategy revised wherever they fail.</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Value pools sized to the stated evidence standard, with a documented method leadership can interrogate.</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The pursuit protocol proven on live opportunities, with route declared at qualification and zero unmanaged channel conflicts.</w:t>
      </w:r>
    </w:p>
    <w:p>
      <w:pPr>
        <w:pStyle w:val="ListParagraph"/>
        <w:numPr>
          <w:ilvl w:val="0"/>
          <w:numId w:val="2"/>
        </w:numPr>
        <w:spacing w:after="80" w:line="264"/>
      </w:pPr>
      <w:r>
        <w:rPr>
          <w:rFonts w:ascii="Calibri" w:cs="Calibri" w:eastAsia="Calibri" w:hAnsi="Calibri"/>
          <w:b w:val="false"/>
          <w:bCs w:val="false"/>
          <w:i w:val="false"/>
          <w:iCs w:val="false"/>
          <w:color w:val="222222"/>
          <w:sz w:val="21"/>
          <w:szCs w:val="21"/>
        </w:rPr>
        <w:t xml:space="preserve">A two-quarter review package that lets leadership decide the platform’s future from evidence rather than conviction.</w:t>
      </w:r>
    </w:p>
    <w:p>
      <w:pPr>
        <w:spacing w:after="200"/>
      </w:pPr>
    </w:p>
    <w:p>
      <w:pPr>
        <w:spacing w:after="140" w:line="264"/>
      </w:pPr>
      <w:r>
        <w:rPr>
          <w:rFonts w:ascii="Calibri" w:cs="Calibri" w:eastAsia="Calibri" w:hAnsi="Calibri"/>
          <w:b w:val="false"/>
          <w:bCs w:val="false"/>
          <w:i/>
          <w:iCs/>
          <w:color w:val="222222"/>
          <w:sz w:val="21"/>
          <w:szCs w:val="21"/>
        </w:rPr>
        <w:t xml:space="preserve">Prepared for discussion Thursday. Amendments from the working session will be incorporated the same day, and the engagement starts Friday morning with the module A data request.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573"/>
        <w:sz w:val="15"/>
        <w:szCs w:val="15"/>
      </w:rPr>
      <w:t xml:space="preserve">Prepared for the Southwire Power Generation working session | August 2026</w:t>
    </w:r>
    <w:r>
      <w:rPr>
        <w:rFonts w:ascii="Calibri" w:cs="Calibri" w:eastAsia="Calibri" w:hAnsi="Calibri"/>
        <w:color w:val="5B6573"/>
        <w:sz w:val="15"/>
        <w:szCs w:val="15"/>
      </w:rPr>
      <w:t xml:space="preserve">	Page </w:t>
    </w:r>
    <w:r>
      <w:rPr>
        <w:rFonts w:ascii="Calibri" w:cs="Calibri" w:eastAsia="Calibri" w:hAnsi="Calibri"/>
        <w:color w:val="5B65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5B6573"/>
        <w:sz w:val="15"/>
        <w:szCs w:val="15"/>
      </w:rPr>
      <w:t xml:space="preserve">SOUTHWIRE | POWER GENERATION | ENGAGEMENT PROPOSAL</w:t>
    </w:r>
    <w:r>
      <w:rPr>
        <w:rFonts w:ascii="Calibri" w:cs="Calibri" w:eastAsia="Calibri" w:hAnsi="Calibri"/>
        <w:color w:val="5B6573"/>
        <w:sz w:val="15"/>
        <w:szCs w:val="15"/>
      </w:rPr>
      <w:t xml:space="preserve">	CONFIDENTIAL | WORKING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2026-08-18T02:16:10.433Z</dcterms:created>
  <dcterms:modified xsi:type="dcterms:W3CDTF">2026-08-18T02:16:10.433Z</dcterms:modified>
</cp:coreProperties>
</file>

<file path=docProps/custom.xml><?xml version="1.0" encoding="utf-8"?>
<Properties xmlns="http://schemas.openxmlformats.org/officeDocument/2006/custom-properties" xmlns:vt="http://schemas.openxmlformats.org/officeDocument/2006/docPropsVTypes"/>
</file>