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200"/>
      </w:pPr>
      <w:r>
        <w:rPr>
          <w:rFonts w:ascii="Calibri" w:cs="Calibri" w:eastAsia="Calibri" w:hAnsi="Calibri"/>
          <w:b/>
          <w:bCs/>
          <w:color w:val="0F6E84"/>
          <w:sz w:val="22"/>
          <w:szCs w:val="22"/>
        </w:rPr>
        <w:t xml:space="preserve">SOUTHWIRE | ENTERPRISE STRATEGY</w:t>
      </w:r>
    </w:p>
    <w:p>
      <w:pPr>
        <w:spacing w:after="200"/>
      </w:pPr>
      <w:r>
        <w:rPr>
          <w:rFonts w:ascii="Calibri" w:cs="Calibri" w:eastAsia="Calibri" w:hAnsi="Calibri"/>
          <w:b/>
          <w:bCs/>
          <w:color w:val="1F3B57"/>
          <w:sz w:val="52"/>
          <w:szCs w:val="52"/>
        </w:rPr>
        <w:t xml:space="preserve">Enterprise Power Generation Strategy</w:t>
      </w:r>
    </w:p>
    <w:p>
      <w:pPr>
        <w:spacing w:after="1200"/>
      </w:pPr>
      <w:r>
        <w:rPr>
          <w:rFonts w:ascii="Calibri" w:cs="Calibri" w:eastAsia="Calibri" w:hAnsi="Calibri"/>
          <w:color w:val="5B6573"/>
          <w:sz w:val="26"/>
          <w:szCs w:val="26"/>
        </w:rPr>
        <w:t xml:space="preserve">Version 0 for the August 20, 2026 decision session and the 90-day federated pilot</w:t>
      </w:r>
    </w:p>
    <w:p>
      <w:pPr>
        <w:spacing w:after="80"/>
      </w:pPr>
      <w:r>
        <w:rPr>
          <w:rFonts w:ascii="Calibri" w:cs="Calibri" w:eastAsia="Calibri" w:hAnsi="Calibri"/>
          <w:color w:val="444444"/>
          <w:sz w:val="20"/>
          <w:szCs w:val="20"/>
        </w:rPr>
        <w:t xml:space="preserve">Prepared by: Stephan Hardt, Enterprise Strategy</w:t>
      </w:r>
    </w:p>
    <w:p>
      <w:pPr>
        <w:spacing w:after="80"/>
      </w:pPr>
      <w:r>
        <w:rPr>
          <w:rFonts w:ascii="Calibri" w:cs="Calibri" w:eastAsia="Calibri" w:hAnsi="Calibri"/>
          <w:color w:val="444444"/>
          <w:sz w:val="20"/>
          <w:szCs w:val="20"/>
        </w:rPr>
        <w:t xml:space="preserve">For: Marc Hall (sponsor); Amber (September ratification)</w:t>
      </w:r>
    </w:p>
    <w:p>
      <w:pPr>
        <w:spacing w:after="80"/>
      </w:pPr>
      <w:r>
        <w:rPr>
          <w:rFonts w:ascii="Calibri" w:cs="Calibri" w:eastAsia="Calibri" w:hAnsi="Calibri"/>
          <w:color w:val="444444"/>
          <w:sz w:val="20"/>
          <w:szCs w:val="20"/>
        </w:rPr>
        <w:t xml:space="preserve">Status: Working recommendation. Not an approved mandate. Internal only.</w:t>
      </w:r>
    </w:p>
    <w:p>
      <w:pPr>
        <w:spacing w:after="80"/>
      </w:pPr>
      <w:r>
        <w:rPr>
          <w:rFonts w:ascii="Calibri" w:cs="Calibri" w:eastAsia="Calibri" w:hAnsi="Calibri"/>
          <w:color w:val="444444"/>
          <w:sz w:val="20"/>
          <w:szCs w:val="20"/>
        </w:rPr>
        <w:t xml:space="preserve">Evidence basis: twelve-source inventory S01 to S12 (see 00_Source_Inventory). Figures shown carry their source labels; unreconciled values are marked directional and are frozen from external use under the evidence guardrail.</w:t>
      </w:r>
    </w:p>
    <w:p>
      <w:r>
        <w:br w:type="page"/>
      </w:r>
    </w:p>
    <w:p>
      <w:pPr>
        <w:pStyle w:val="Heading1"/>
        <w:spacing w:after="160" w:before="320"/>
      </w:pPr>
      <w:r>
        <w:rPr>
          <w:rFonts w:ascii="Calibri" w:cs="Calibri" w:eastAsia="Calibri" w:hAnsi="Calibri"/>
          <w:b/>
          <w:bCs/>
          <w:color w:val="1F3B57"/>
          <w:sz w:val="30"/>
          <w:szCs w:val="30"/>
        </w:rPr>
        <w:t xml:space="preserve">Executive summary</w:t>
      </w:r>
    </w:p>
    <w:p>
      <w:pPr>
        <w:spacing w:after="140" w:line="264"/>
      </w:pPr>
      <w:r>
        <w:rPr>
          <w:rFonts w:ascii="Calibri" w:cs="Calibri" w:eastAsia="Calibri" w:hAnsi="Calibri"/>
          <w:b/>
          <w:bCs/>
          <w:i w:val="false"/>
          <w:iCs w:val="false"/>
          <w:color w:val="222222"/>
          <w:sz w:val="21"/>
          <w:szCs w:val="21"/>
        </w:rPr>
        <w:t xml:space="preserve">Situation. </w:t>
      </w:r>
      <w:r>
        <w:rPr>
          <w:rFonts w:ascii="Calibri" w:cs="Calibri" w:eastAsia="Calibri" w:hAnsi="Calibri"/>
          <w:b w:val="false"/>
          <w:bCs w:val="false"/>
          <w:i w:val="false"/>
          <w:iCs w:val="false"/>
          <w:color w:val="222222"/>
          <w:sz w:val="21"/>
          <w:szCs w:val="21"/>
        </w:rPr>
        <w:t xml:space="preserve">Southwire has real Power Generation momentum on several fronts at once: an IPP funnel narrowed from more than 500 signals to 17 items labeled actionable, a developed OEM target model holding 55 priorities and 31 Tier 1 candidates, a customer proposition built around Time to Power, and established Utility and Renewables businesses positioned as the enterprise foundation.</w:t>
      </w:r>
    </w:p>
    <w:p>
      <w:pPr>
        <w:spacing w:after="140" w:line="264"/>
      </w:pPr>
      <w:r>
        <w:rPr>
          <w:rFonts w:ascii="Calibri" w:cs="Calibri" w:eastAsia="Calibri" w:hAnsi="Calibri"/>
          <w:b/>
          <w:bCs/>
          <w:i w:val="false"/>
          <w:iCs w:val="false"/>
          <w:color w:val="222222"/>
          <w:sz w:val="21"/>
          <w:szCs w:val="21"/>
        </w:rPr>
        <w:t xml:space="preserve">Complication. </w:t>
      </w:r>
      <w:r>
        <w:rPr>
          <w:rFonts w:ascii="Calibri" w:cs="Calibri" w:eastAsia="Calibri" w:hAnsi="Calibri"/>
          <w:b w:val="false"/>
          <w:bCs w:val="false"/>
          <w:i w:val="false"/>
          <w:iCs w:val="false"/>
          <w:color w:val="222222"/>
          <w:sz w:val="21"/>
          <w:szCs w:val="21"/>
        </w:rPr>
        <w:t xml:space="preserve">The activity is not yet one operating system. Current-state visibility is incomplete for the foundation businesses, nine governance items on the account board remain open, market and quote figures conflict across document versions, the strongest labor proof is an adjacent case rather than a customer result, and leadership has cautioned on channel conflict while route and credit rules are still undecided. No source establishes enterprise authority over accounts, pricing, capacity, channels or revenue.</w:t>
      </w:r>
    </w:p>
    <w:p>
      <w:pPr>
        <w:spacing w:after="140" w:line="264"/>
      </w:pPr>
      <w:r>
        <w:rPr>
          <w:rFonts w:ascii="Calibri" w:cs="Calibri" w:eastAsia="Calibri" w:hAnsi="Calibri"/>
          <w:b/>
          <w:bCs/>
          <w:i w:val="false"/>
          <w:iCs w:val="false"/>
          <w:color w:val="222222"/>
          <w:sz w:val="21"/>
          <w:szCs w:val="21"/>
        </w:rPr>
        <w:t xml:space="preserve">Resolution. </w:t>
      </w:r>
      <w:r>
        <w:rPr>
          <w:rFonts w:ascii="Calibri" w:cs="Calibri" w:eastAsia="Calibri" w:hAnsi="Calibri"/>
          <w:b w:val="false"/>
          <w:bCs w:val="false"/>
          <w:i w:val="false"/>
          <w:iCs w:val="false"/>
          <w:color w:val="222222"/>
          <w:sz w:val="21"/>
          <w:szCs w:val="21"/>
        </w:rPr>
        <w:t xml:space="preserve">Run Power Generation as a federated enterprise platform for a 90-day pilot, August 21 to November 18. Marc authorizes the interim launch Thursday; Amber ratifies, modifies or stops the pilot at the September checkpoint. PowerGen owns strategy development, prioritization recommendations, the consolidated project view, discovery standards, lighthouse-pursuit orchestration and reporting. The businesses keep every commercial and P&amp;L authority they hold today. The validation portfolio is deliberately narrow: new-build gas project capture and OEM/modular platform embedding now, repower/brownfield conditionally, everything else mapped but not commercially activated.</w:t>
      </w:r>
    </w:p>
    <w:p>
      <w:pPr>
        <w:spacing w:after="140" w:line="264"/>
      </w:pPr>
      <w:r>
        <w:rPr>
          <w:rFonts w:ascii="Calibri" w:cs="Calibri" w:eastAsia="Calibri" w:hAnsi="Calibri"/>
          <w:b w:val="false"/>
          <w:bCs w:val="false"/>
          <w:i w:val="false"/>
          <w:iCs w:val="false"/>
          <w:color w:val="222222"/>
          <w:sz w:val="21"/>
          <w:szCs w:val="21"/>
        </w:rPr>
        <w:t xml:space="preserve">The governing thought in one sentence: the opportunity is real enough to organize and not yet proven enough to reorganize, so Southwire should buy 90 days of evidence with a pilot that changes decision-making without changing ownership.</w:t>
      </w:r>
    </w:p>
    <w:p>
      <w:pPr>
        <w:spacing w:after="100" w:before="200"/>
      </w:pPr>
      <w:r>
        <w:rPr>
          <w:rFonts w:ascii="Calibri" w:cs="Calibri" w:eastAsia="Calibri" w:hAnsi="Calibri"/>
          <w:b/>
          <w:bCs/>
          <w:color w:val="0F6E84"/>
          <w:sz w:val="20"/>
          <w:szCs w:val="20"/>
        </w:rPr>
        <w:t xml:space="preserve">Exhibit 1. </w:t>
      </w:r>
      <w:r>
        <w:rPr>
          <w:rFonts w:ascii="Calibri" w:cs="Calibri" w:eastAsia="Calibri" w:hAnsi="Calibri"/>
          <w:b/>
          <w:bCs/>
          <w:color w:val="222222"/>
          <w:sz w:val="20"/>
          <w:szCs w:val="20"/>
        </w:rPr>
        <w:t xml:space="preserve">The recommendation at a glance</w:t>
      </w:r>
    </w:p>
    <w:tbl>
      <w:tblPr>
        <w:tblW w:type="dxa" w:w="9360"/>
        <w:tblBorders>
          <w:top w:val="single" w:color="C9D2DB" w:sz="4"/>
          <w:left w:val="single" w:color="C9D2DB" w:sz="4"/>
          <w:bottom w:val="single" w:color="C9D2DB" w:sz="4"/>
          <w:right w:val="single" w:color="C9D2DB" w:sz="4"/>
          <w:insideH w:val="single" w:color="C9D2DB" w:sz="4"/>
          <w:insideV w:val="single" w:color="C9D2DB" w:sz="4"/>
        </w:tblBorders>
      </w:tblPr>
      <w:tblGrid>
        <w:gridCol w:w="1498"/>
        <w:gridCol w:w="4493"/>
        <w:gridCol w:w="3370"/>
      </w:tblGrid>
      <w:tr>
        <w:trPr>
          <w:tblHeader/>
        </w:trPr>
        <w:tc>
          <w:tcPr>
            <w:tcW w:type="dxa" w:w="1498"/>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Question</w:t>
            </w:r>
          </w:p>
        </w:tc>
        <w:tc>
          <w:tcPr>
            <w:tcW w:type="dxa" w:w="4493"/>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Recommendation</w:t>
            </w:r>
          </w:p>
        </w:tc>
        <w:tc>
          <w:tcPr>
            <w:tcW w:type="dxa" w:w="3370"/>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Basis</w:t>
            </w:r>
          </w:p>
        </w:tc>
      </w:tr>
      <w:tr>
        <w:tc>
          <w:tcPr>
            <w:tcW w:type="dxa" w:w="1498"/>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Operating model</w:t>
            </w:r>
          </w:p>
        </w:tc>
        <w:tc>
          <w:tcPr>
            <w:tcW w:type="dxa" w:w="4493"/>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Federated horizontal platform as a 90-day pilot; Marc authorizes interim launch, Amber ratifies/modifies/stops in September</w:t>
            </w:r>
          </w:p>
        </w:tc>
        <w:tc>
          <w:tcPr>
            <w:tcW w:type="dxa" w:w="3370"/>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Best fit with the working mandate and evidence; preserves all existing authority (03)</w:t>
            </w:r>
          </w:p>
        </w:tc>
      </w:tr>
      <w:tr>
        <w:tc>
          <w:tcPr>
            <w:tcW w:type="dxa" w:w="1498"/>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Portfolio</w:t>
            </w:r>
          </w:p>
        </w:tc>
        <w:tc>
          <w:tcPr>
            <w:tcW w:type="dxa" w:w="4493"/>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Two immediate validation priorities: new-build gas capture (weighted 3.50/5) and OEM/modular embedding (3.35/5); repower/brownfield conditional (2.75); Data Center/BTM and nuclear evidence-map only</w:t>
            </w:r>
          </w:p>
        </w:tc>
        <w:tc>
          <w:tcPr>
            <w:tcW w:type="dxa" w:w="3370"/>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Force-ranking in 05; scores are recommendations, unknowns capped at 3</w:t>
            </w:r>
          </w:p>
        </w:tc>
      </w:tr>
      <w:tr>
        <w:tc>
          <w:tcPr>
            <w:tcW w:type="dxa" w:w="1498"/>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Structural choices</w:t>
            </w:r>
          </w:p>
        </w:tc>
        <w:tc>
          <w:tcPr>
            <w:tcW w:type="dxa" w:w="4493"/>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EPC/OE is a cross-cutting route, not a separate market; prefab is an enabling capability, not a play; Utility/Renewables are the foundation pending current-state validation</w:t>
            </w:r>
          </w:p>
        </w:tc>
        <w:tc>
          <w:tcPr>
            <w:tcW w:type="dxa" w:w="3370"/>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Thesis (04); S09 dual-lane recommendation</w:t>
            </w:r>
          </w:p>
        </w:tc>
      </w:tr>
      <w:tr>
        <w:tc>
          <w:tcPr>
            <w:tcW w:type="dxa" w:w="1498"/>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Route to market</w:t>
            </w:r>
          </w:p>
        </w:tc>
        <w:tc>
          <w:tcPr>
            <w:tcW w:type="dxa" w:w="4493"/>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Distinct routes per defined buying scope; OEM approval and field conversion run in parallel; direct is never the default; route and revenue owner recorded before proposal</w:t>
            </w:r>
          </w:p>
        </w:tc>
        <w:tc>
          <w:tcPr>
            <w:tcW w:type="dxa" w:w="3370"/>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Route guardrails and decision table (03); Marc caution in S07</w:t>
            </w:r>
          </w:p>
        </w:tc>
      </w:tr>
      <w:tr>
        <w:tc>
          <w:tcPr>
            <w:tcW w:type="dxa" w:w="1498"/>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Evidence discipline</w:t>
            </w:r>
          </w:p>
        </w:tc>
        <w:tc>
          <w:tcPr>
            <w:tcW w:type="dxa" w:w="4493"/>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Unreconciled figures frozen from executive and external use; stage taxonomy enforced; candidates never counted as opportunities</w:t>
            </w:r>
          </w:p>
        </w:tc>
        <w:tc>
          <w:tcPr>
            <w:tcW w:type="dxa" w:w="3370"/>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Conflict ledger C01-C12; guardrail note (12)</w:t>
            </w:r>
          </w:p>
        </w:tc>
      </w:tr>
    </w:tbl>
    <w:p>
      <w:r>
        <w:br w:type="page"/>
      </w:r>
    </w:p>
    <w:p>
      <w:pPr>
        <w:pStyle w:val="Heading1"/>
        <w:spacing w:after="160" w:before="320"/>
      </w:pPr>
      <w:r>
        <w:rPr>
          <w:rFonts w:ascii="Calibri" w:cs="Calibri" w:eastAsia="Calibri" w:hAnsi="Calibri"/>
          <w:b/>
          <w:bCs/>
          <w:color w:val="1F3B57"/>
          <w:sz w:val="30"/>
          <w:szCs w:val="30"/>
        </w:rPr>
        <w:t xml:space="preserve">1. Mandate and situation</w:t>
      </w:r>
    </w:p>
    <w:p>
      <w:pPr>
        <w:spacing w:after="140" w:line="264"/>
      </w:pPr>
      <w:r>
        <w:rPr>
          <w:rFonts w:ascii="Calibri" w:cs="Calibri" w:eastAsia="Calibri" w:hAnsi="Calibri"/>
          <w:b w:val="false"/>
          <w:bCs w:val="false"/>
          <w:i w:val="false"/>
          <w:iCs w:val="false"/>
          <w:color w:val="222222"/>
          <w:sz w:val="21"/>
          <w:szCs w:val="21"/>
        </w:rPr>
        <w:t xml:space="preserve">The working brief proposes company-wide ownership of Power Generation strategy; leadership questions cover structure, current activity, where to play, how to win and phasing across Utility, IPP, EPC, Data Center, nuclear and repower. No source grants authority over accounts, P&amp;Ls, pricing, manufacturing, channels or revenue, and the brief itself is a discussion draft rather than proof of approved mandate. Authority is therefore the first Thursday decision, not an assumption.</w:t>
      </w:r>
    </w:p>
    <w:p>
      <w:pPr>
        <w:pStyle w:val="Heading2"/>
        <w:spacing w:after="120" w:before="240"/>
      </w:pPr>
      <w:r>
        <w:rPr>
          <w:rFonts w:ascii="Calibri" w:cs="Calibri" w:eastAsia="Calibri" w:hAnsi="Calibri"/>
          <w:b/>
          <w:bCs/>
          <w:color w:val="0F6E84"/>
          <w:sz w:val="24"/>
          <w:szCs w:val="24"/>
        </w:rPr>
        <w:t xml:space="preserve">What is genuinely established</w:t>
      </w:r>
    </w:p>
    <w:p>
      <w:pPr>
        <w:pStyle w:val="ListParagraph"/>
        <w:numPr>
          <w:ilvl w:val="0"/>
          <w:numId w:val="2"/>
        </w:numPr>
        <w:spacing w:after="80" w:line="264"/>
      </w:pPr>
      <w:r>
        <w:rPr>
          <w:rFonts w:ascii="Calibri" w:cs="Calibri" w:eastAsia="Calibri" w:hAnsi="Calibri"/>
          <w:b w:val="false"/>
          <w:bCs w:val="false"/>
          <w:i w:val="false"/>
          <w:iCs w:val="false"/>
          <w:color w:val="222222"/>
          <w:sz w:val="21"/>
          <w:szCs w:val="21"/>
        </w:rPr>
        <w:t xml:space="preserve">The IPP midyear review documents a funnel of 500+ signals to 29 reviewed to 17 actionable, recommends focusing on 3 to 5, and reports 63 GW, $140-160B and an approximately $2B ambition as internal planning figures with definitions attached (S03).</w:t>
      </w:r>
    </w:p>
    <w:p>
      <w:pPr>
        <w:pStyle w:val="ListParagraph"/>
        <w:numPr>
          <w:ilvl w:val="0"/>
          <w:numId w:val="2"/>
        </w:numPr>
        <w:spacing w:after="80" w:line="264"/>
      </w:pPr>
      <w:r>
        <w:rPr>
          <w:rFonts w:ascii="Calibri" w:cs="Calibri" w:eastAsia="Calibri" w:hAnsi="Calibri"/>
          <w:b w:val="false"/>
          <w:bCs w:val="false"/>
          <w:i w:val="false"/>
          <w:iCs w:val="false"/>
          <w:color w:val="222222"/>
          <w:sz w:val="21"/>
          <w:szCs w:val="21"/>
        </w:rPr>
        <w:t xml:space="preserve">The corrected OEM summary reports an approximately $1.8B directional annual U.S. non-turbine OEM wire-and-cable market model, a funnel of 300 names to 100 candidates to 55 priorities to 30 Tier 1, $53M reported annual potential and $9.7M reported quote activity pending reconciliation (S04). The Rev89C workbook holds 55 priorities, 31 Tier 1, 69 equipment packages, 48 skid/integrator targets and 114 directory entries, all modeled candidates (S09).</w:t>
      </w:r>
    </w:p>
    <w:p>
      <w:pPr>
        <w:pStyle w:val="ListParagraph"/>
        <w:numPr>
          <w:ilvl w:val="0"/>
          <w:numId w:val="2"/>
        </w:numPr>
        <w:spacing w:after="80" w:line="264"/>
      </w:pPr>
      <w:r>
        <w:rPr>
          <w:rFonts w:ascii="Calibri" w:cs="Calibri" w:eastAsia="Calibri" w:hAnsi="Calibri"/>
          <w:b w:val="false"/>
          <w:bCs w:val="false"/>
          <w:i w:val="false"/>
          <w:iCs w:val="false"/>
          <w:color w:val="222222"/>
          <w:sz w:val="21"/>
          <w:szCs w:val="21"/>
        </w:rPr>
        <w:t xml:space="preserve">The NRG teaser frames Time to Power as an electrical execution problem and uses a 4,400-to-approximately-880 labor-hour example that is adjacent, not NRG-specific, and requires verification before external reuse (S10).</w:t>
      </w:r>
    </w:p>
    <w:p>
      <w:pPr>
        <w:pStyle w:val="ListParagraph"/>
        <w:numPr>
          <w:ilvl w:val="0"/>
          <w:numId w:val="2"/>
        </w:numPr>
        <w:spacing w:after="80" w:line="264"/>
      </w:pPr>
      <w:r>
        <w:rPr>
          <w:rFonts w:ascii="Calibri" w:cs="Calibri" w:eastAsia="Calibri" w:hAnsi="Calibri"/>
          <w:b w:val="false"/>
          <w:bCs w:val="false"/>
          <w:i w:val="false"/>
          <w:iCs w:val="false"/>
          <w:color w:val="222222"/>
          <w:sz w:val="21"/>
          <w:szCs w:val="21"/>
        </w:rPr>
        <w:t xml:space="preserve">The account board flags stage errors and unsupported schedule language and leaves RID-01 through RID-09 open across account, channel, credit, CRM and technical-resource decisions (S08). Marc requested market-potential analysis and cautioned on channel conflict (S07).</w:t>
      </w:r>
    </w:p>
    <w:p>
      <w:pPr>
        <w:pStyle w:val="Heading1"/>
        <w:spacing w:after="160" w:before="320"/>
      </w:pPr>
      <w:r>
        <w:rPr>
          <w:rFonts w:ascii="Calibri" w:cs="Calibri" w:eastAsia="Calibri" w:hAnsi="Calibri"/>
          <w:b/>
          <w:bCs/>
          <w:color w:val="1F3B57"/>
          <w:sz w:val="30"/>
          <w:szCs w:val="30"/>
        </w:rPr>
        <w:t xml:space="preserve">2. Evidence discipline and material conflicts</w:t>
      </w:r>
    </w:p>
    <w:p>
      <w:pPr>
        <w:spacing w:after="140" w:line="264"/>
      </w:pPr>
      <w:r>
        <w:rPr>
          <w:rFonts w:ascii="Calibri" w:cs="Calibri" w:eastAsia="Calibri" w:hAnsi="Calibri"/>
          <w:b w:val="false"/>
          <w:bCs w:val="false"/>
          <w:i w:val="false"/>
          <w:iCs w:val="false"/>
          <w:color w:val="222222"/>
          <w:sz w:val="21"/>
          <w:szCs w:val="21"/>
        </w:rPr>
        <w:t xml:space="preserve">The strategy stands on a rule: nothing enters the leadership story that cannot be labeled Source Fact, Inference or Recommendation and cite a source or a named validation owner. Twelve conflicts are recorded rather than silently resolved; the five that matter most commercially:</w:t>
      </w:r>
    </w:p>
    <w:p>
      <w:pPr>
        <w:spacing w:after="100" w:before="200"/>
      </w:pPr>
      <w:r>
        <w:rPr>
          <w:rFonts w:ascii="Calibri" w:cs="Calibri" w:eastAsia="Calibri" w:hAnsi="Calibri"/>
          <w:b/>
          <w:bCs/>
          <w:color w:val="0F6E84"/>
          <w:sz w:val="20"/>
          <w:szCs w:val="20"/>
        </w:rPr>
        <w:t xml:space="preserve">Exhibit 2. </w:t>
      </w:r>
      <w:r>
        <w:rPr>
          <w:rFonts w:ascii="Calibri" w:cs="Calibri" w:eastAsia="Calibri" w:hAnsi="Calibri"/>
          <w:b/>
          <w:bCs/>
          <w:color w:val="222222"/>
          <w:sz w:val="20"/>
          <w:szCs w:val="20"/>
        </w:rPr>
        <w:t xml:space="preserve">Material conflicts and required treatment</w:t>
      </w:r>
    </w:p>
    <w:tbl>
      <w:tblPr>
        <w:tblW w:type="dxa" w:w="9360"/>
        <w:tblBorders>
          <w:top w:val="single" w:color="C9D2DB" w:sz="4"/>
          <w:left w:val="single" w:color="C9D2DB" w:sz="4"/>
          <w:bottom w:val="single" w:color="C9D2DB" w:sz="4"/>
          <w:right w:val="single" w:color="C9D2DB" w:sz="4"/>
          <w:insideH w:val="single" w:color="C9D2DB" w:sz="4"/>
          <w:insideV w:val="single" w:color="C9D2DB" w:sz="4"/>
        </w:tblBorders>
      </w:tblPr>
      <w:tblGrid>
        <w:gridCol w:w="1685"/>
        <w:gridCol w:w="4118"/>
        <w:gridCol w:w="3557"/>
      </w:tblGrid>
      <w:tr>
        <w:trPr>
          <w:tblHeader/>
        </w:trPr>
        <w:tc>
          <w:tcPr>
            <w:tcW w:type="dxa" w:w="1685"/>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Conflict</w:t>
            </w:r>
          </w:p>
        </w:tc>
        <w:tc>
          <w:tcPr>
            <w:tcW w:type="dxa" w:w="4118"/>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The two versions</w:t>
            </w:r>
          </w:p>
        </w:tc>
        <w:tc>
          <w:tcPr>
            <w:tcW w:type="dxa" w:w="3557"/>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Treatment until resolved</w:t>
            </w:r>
          </w:p>
        </w:tc>
      </w:tr>
      <w:tr>
        <w:tc>
          <w:tcPr>
            <w:tcW w:type="dxa" w:w="1685"/>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OEM market size (C01)</w:t>
            </w:r>
          </w:p>
        </w:tc>
        <w:tc>
          <w:tcPr>
            <w:tcW w:type="dxa" w:w="4118"/>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Superseded $12.575B gross estimate with significant overlap versus corrected approximately $1.8B directional model</w:t>
            </w:r>
          </w:p>
        </w:tc>
        <w:tc>
          <w:tcPr>
            <w:tcW w:type="dxa" w:w="3557"/>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Use $1.8B only, labeled directional; never repeat $12.575B as current</w:t>
            </w:r>
          </w:p>
        </w:tc>
      </w:tr>
      <w:tr>
        <w:tc>
          <w:tcPr>
            <w:tcW w:type="dxa" w:w="1685"/>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Quote activity (C03)</w:t>
            </w:r>
          </w:p>
        </w:tc>
        <w:tc>
          <w:tcPr>
            <w:tcW w:type="dxa" w:w="4118"/>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More than $20M in an earlier summary versus $9.7M pending reconciliation</w:t>
            </w:r>
          </w:p>
        </w:tc>
        <w:tc>
          <w:tcPr>
            <w:tcW w:type="dxa" w:w="3557"/>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TBD in any executive thesis until a quote-level export supports one number</w:t>
            </w:r>
          </w:p>
        </w:tc>
      </w:tr>
      <w:tr>
        <w:tc>
          <w:tcPr>
            <w:tcW w:type="dxa" w:w="1685"/>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Tier 1 count (C07)</w:t>
            </w:r>
          </w:p>
        </w:tc>
        <w:tc>
          <w:tcPr>
            <w:tcW w:type="dxa" w:w="4118"/>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30 in the corrected summary versus 31 calculated in Rev89C</w:t>
            </w:r>
          </w:p>
        </w:tc>
        <w:tc>
          <w:tcPr>
            <w:tcW w:type="dxa" w:w="3557"/>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Say 31 only when citing Rev89C; otherwise approximately 30</w:t>
            </w:r>
          </w:p>
        </w:tc>
      </w:tr>
      <w:tr>
        <w:tc>
          <w:tcPr>
            <w:tcW w:type="dxa" w:w="1685"/>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Labor benchmark (C04)</w:t>
            </w:r>
          </w:p>
        </w:tc>
        <w:tc>
          <w:tcPr>
            <w:tcW w:type="dxa" w:w="4118"/>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4,400 to approximately 880 hours, adjacent case; any 800-hour shorthand is inconsistent</w:t>
            </w:r>
          </w:p>
        </w:tc>
        <w:tc>
          <w:tcPr>
            <w:tcW w:type="dxa" w:w="3557"/>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Internal only, with verification qualifier, until baseline, scope and contribution are validated</w:t>
            </w:r>
          </w:p>
        </w:tc>
      </w:tr>
      <w:tr>
        <w:tc>
          <w:tcPr>
            <w:tcW w:type="dxa" w:w="1685"/>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Funnel stages (C05)</w:t>
            </w:r>
          </w:p>
        </w:tc>
        <w:tc>
          <w:tcPr>
            <w:tcW w:type="dxa" w:w="4118"/>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500+, 29, 17 and 3-5 describe different stages; the board flags relationship-versus-stage errors</w:t>
            </w:r>
          </w:p>
        </w:tc>
        <w:tc>
          <w:tcPr>
            <w:tcW w:type="dxa" w:w="3557"/>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Never present any of these counts as active opportunities without the agreed stage definition</w:t>
            </w:r>
          </w:p>
        </w:tc>
      </w:tr>
    </w:tbl>
    <w:p>
      <w:pPr>
        <w:pStyle w:val="Heading1"/>
        <w:spacing w:after="160" w:before="320"/>
      </w:pPr>
      <w:r>
        <w:rPr>
          <w:rFonts w:ascii="Calibri" w:cs="Calibri" w:eastAsia="Calibri" w:hAnsi="Calibri"/>
          <w:b/>
          <w:bCs/>
          <w:color w:val="1F3B57"/>
          <w:sz w:val="30"/>
          <w:szCs w:val="30"/>
        </w:rPr>
        <w:t xml:space="preserve">3. Where to play: the validation portfolio</w:t>
      </w:r>
    </w:p>
    <w:p>
      <w:pPr>
        <w:spacing w:after="140" w:line="264"/>
      </w:pPr>
      <w:r>
        <w:rPr>
          <w:rFonts w:ascii="Calibri" w:cs="Calibri" w:eastAsia="Calibri" w:hAnsi="Calibri"/>
          <w:b w:val="false"/>
          <w:bCs w:val="false"/>
          <w:i w:val="false"/>
          <w:iCs w:val="false"/>
          <w:color w:val="222222"/>
          <w:sz w:val="21"/>
          <w:szCs w:val="21"/>
        </w:rPr>
        <w:t xml:space="preserve">Five customer opportunities were force-ranked on eight weighted criteria with veto gates; unknown evidence cannot score above 3, and every score is a recommendation, not a fact. The result supports a narrow start.</w:t>
      </w:r>
    </w:p>
    <w:p>
      <w:pPr>
        <w:spacing w:after="100" w:before="200"/>
      </w:pPr>
      <w:r>
        <w:rPr>
          <w:rFonts w:ascii="Calibri" w:cs="Calibri" w:eastAsia="Calibri" w:hAnsi="Calibri"/>
          <w:b/>
          <w:bCs/>
          <w:color w:val="0F6E84"/>
          <w:sz w:val="20"/>
          <w:szCs w:val="20"/>
        </w:rPr>
        <w:t xml:space="preserve">Exhibit 3. </w:t>
      </w:r>
      <w:r>
        <w:rPr>
          <w:rFonts w:ascii="Calibri" w:cs="Calibri" w:eastAsia="Calibri" w:hAnsi="Calibri"/>
          <w:b/>
          <w:bCs/>
          <w:color w:val="222222"/>
          <w:sz w:val="20"/>
          <w:szCs w:val="20"/>
        </w:rPr>
        <w:t xml:space="preserve">Portfolio force-ranking (scores 1-5; weighted result out of 5)</w:t>
      </w:r>
    </w:p>
    <w:tbl>
      <w:tblPr>
        <w:tblW w:type="dxa" w:w="9360"/>
        <w:tblBorders>
          <w:top w:val="single" w:color="C9D2DB" w:sz="4"/>
          <w:left w:val="single" w:color="C9D2DB" w:sz="4"/>
          <w:bottom w:val="single" w:color="C9D2DB" w:sz="4"/>
          <w:right w:val="single" w:color="C9D2DB" w:sz="4"/>
          <w:insideH w:val="single" w:color="C9D2DB" w:sz="4"/>
          <w:insideV w:val="single" w:color="C9D2DB" w:sz="4"/>
        </w:tblBorders>
      </w:tblPr>
      <w:tblGrid>
        <w:gridCol w:w="2246"/>
        <w:gridCol w:w="1123"/>
        <w:gridCol w:w="3931"/>
        <w:gridCol w:w="2059"/>
      </w:tblGrid>
      <w:tr>
        <w:trPr>
          <w:tblHeader/>
        </w:trPr>
        <w:tc>
          <w:tcPr>
            <w:tcW w:type="dxa" w:w="2246"/>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Customer opportunity</w:t>
            </w:r>
          </w:p>
        </w:tc>
        <w:tc>
          <w:tcPr>
            <w:tcW w:type="dxa" w:w="1123"/>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Weighted score</w:t>
            </w:r>
          </w:p>
        </w:tc>
        <w:tc>
          <w:tcPr>
            <w:tcW w:type="dxa" w:w="3931"/>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Evidence note</w:t>
            </w:r>
          </w:p>
        </w:tc>
        <w:tc>
          <w:tcPr>
            <w:tcW w:type="dxa" w:w="2059"/>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Decision</w:t>
            </w:r>
          </w:p>
        </w:tc>
      </w:tr>
      <w:tr>
        <w:tc>
          <w:tcPr>
            <w:tcW w:type="dxa" w:w="2246"/>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New-build gas project capture</w:t>
            </w:r>
          </w:p>
        </w:tc>
        <w:tc>
          <w:tcPr>
            <w:tcW w:type="dxa" w:w="1123"/>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3.50</w:t>
            </w:r>
          </w:p>
        </w:tc>
        <w:tc>
          <w:tcPr>
            <w:tcW w:type="dxa" w:w="3931"/>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17 items labeled actionable; stage, route, product, capacity and economics require validation</w:t>
            </w:r>
          </w:p>
        </w:tc>
        <w:tc>
          <w:tcPr>
            <w:tcW w:type="dxa" w:w="2059"/>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Validate now</w:t>
            </w:r>
          </w:p>
        </w:tc>
      </w:tr>
      <w:tr>
        <w:tc>
          <w:tcPr>
            <w:tcW w:type="dxa" w:w="2246"/>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OEM/modular platform embedding</w:t>
            </w:r>
          </w:p>
        </w:tc>
        <w:tc>
          <w:tcPr>
            <w:tcW w:type="dxa" w:w="1123"/>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3.35</w:t>
            </w:r>
          </w:p>
        </w:tc>
        <w:tc>
          <w:tcPr>
            <w:tcW w:type="dxa" w:w="3931"/>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Developed candidate model; actual buyer, boundary, stage, route and economics incomplete</w:t>
            </w:r>
          </w:p>
        </w:tc>
        <w:tc>
          <w:tcPr>
            <w:tcW w:type="dxa" w:w="2059"/>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Validate now</w:t>
            </w:r>
          </w:p>
        </w:tc>
      </w:tr>
      <w:tr>
        <w:tc>
          <w:tcPr>
            <w:tcW w:type="dxa" w:w="2246"/>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Repower / brownfield</w:t>
            </w:r>
          </w:p>
        </w:tc>
        <w:tc>
          <w:tcPr>
            <w:tcW w:type="dxa" w:w="1123"/>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2.75</w:t>
            </w:r>
          </w:p>
        </w:tc>
        <w:tc>
          <w:tcPr>
            <w:tcW w:type="dxa" w:w="3931"/>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Proposition exists; no qualified enterprise project list found</w:t>
            </w:r>
          </w:p>
        </w:tc>
        <w:tc>
          <w:tcPr>
            <w:tcW w:type="dxa" w:w="2059"/>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Conditional: activates only with a named sponsor, project and repeatable hypothesis</w:t>
            </w:r>
          </w:p>
        </w:tc>
      </w:tr>
      <w:tr>
        <w:tc>
          <w:tcPr>
            <w:tcW w:type="dxa" w:w="2246"/>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Data Center / BTM</w:t>
            </w:r>
          </w:p>
        </w:tc>
        <w:tc>
          <w:tcPr>
            <w:tcW w:type="dxa" w:w="1123"/>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2.60</w:t>
            </w:r>
          </w:p>
        </w:tc>
        <w:tc>
          <w:tcPr>
            <w:tcW w:type="dxa" w:w="3931"/>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Strategic adjacency; ownership and account overlap missing</w:t>
            </w:r>
          </w:p>
        </w:tc>
        <w:tc>
          <w:tcPr>
            <w:tcW w:type="dxa" w:w="2059"/>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Evidence map only during the pilot</w:t>
            </w:r>
          </w:p>
        </w:tc>
      </w:tr>
      <w:tr>
        <w:tc>
          <w:tcPr>
            <w:tcW w:type="dxa" w:w="2246"/>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Nuclear / SMR</w:t>
            </w:r>
          </w:p>
        </w:tc>
        <w:tc>
          <w:tcPr>
            <w:tcW w:type="dxa" w:w="1123"/>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2.10</w:t>
            </w:r>
          </w:p>
        </w:tc>
        <w:tc>
          <w:tcPr>
            <w:tcW w:type="dxa" w:w="3931"/>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Long-term interest; capability, qualification, customer and resource evidence missing</w:t>
            </w:r>
          </w:p>
        </w:tc>
        <w:tc>
          <w:tcPr>
            <w:tcW w:type="dxa" w:w="2059"/>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Evidence map only; entry gate and decision date to be defined</w:t>
            </w:r>
          </w:p>
        </w:tc>
      </w:tr>
    </w:tbl>
    <w:p>
      <w:pPr>
        <w:spacing w:after="140" w:line="264"/>
      </w:pPr>
      <w:r>
        <w:rPr>
          <w:rFonts w:ascii="Calibri" w:cs="Calibri" w:eastAsia="Calibri" w:hAnsi="Calibri"/>
          <w:b w:val="false"/>
          <w:bCs w:val="false"/>
          <w:i w:val="false"/>
          <w:iCs w:val="false"/>
          <w:color w:val="222222"/>
          <w:sz w:val="21"/>
          <w:szCs w:val="21"/>
        </w:rPr>
        <w:t xml:space="preserve">Two structural clarifications carry through everything: EPC/OE specification is a cross-cutting influence route serving both immediate priorities, not a separate end market; and prefab, kitting, application engineering, supply planning and field support are enabling capabilities, not standalone plays. Utility and Renewables are the proposed foundation, pending the current-state input their leaders owe by August 28.</w:t>
      </w:r>
    </w:p>
    <w:p>
      <w:r>
        <w:br w:type="page"/>
      </w:r>
    </w:p>
    <w:p>
      <w:pPr>
        <w:pStyle w:val="Heading1"/>
        <w:spacing w:after="160" w:before="320"/>
      </w:pPr>
      <w:r>
        <w:rPr>
          <w:rFonts w:ascii="Calibri" w:cs="Calibri" w:eastAsia="Calibri" w:hAnsi="Calibri"/>
          <w:b/>
          <w:bCs/>
          <w:color w:val="1F3B57"/>
          <w:sz w:val="30"/>
          <w:szCs w:val="30"/>
        </w:rPr>
        <w:t xml:space="preserve">4. How Southwire wins</w:t>
      </w:r>
    </w:p>
    <w:p>
      <w:pPr>
        <w:spacing w:after="140" w:line="264"/>
      </w:pPr>
      <w:r>
        <w:rPr>
          <w:rFonts w:ascii="Calibri" w:cs="Calibri" w:eastAsia="Calibri" w:hAnsi="Calibri"/>
          <w:b w:val="false"/>
          <w:bCs w:val="false"/>
          <w:i w:val="false"/>
          <w:iCs w:val="false"/>
          <w:color w:val="222222"/>
          <w:sz w:val="21"/>
          <w:szCs w:val="21"/>
        </w:rPr>
        <w:t xml:space="preserve">Seven mechanics, in commercial order. Each is testable inside the pilot and none assumes engineering-of-record, EPC or installation responsibility.</w:t>
      </w:r>
    </w:p>
    <w:p>
      <w:pPr>
        <w:pStyle w:val="ListParagraph"/>
        <w:numPr>
          <w:ilvl w:val="0"/>
          <w:numId w:val="3"/>
        </w:numPr>
        <w:spacing w:after="80" w:line="264"/>
      </w:pPr>
      <w:r>
        <w:rPr>
          <w:rFonts w:ascii="Calibri" w:cs="Calibri" w:eastAsia="Calibri" w:hAnsi="Calibri"/>
          <w:b/>
          <w:bCs/>
          <w:i w:val="false"/>
          <w:iCs w:val="false"/>
          <w:color w:val="222222"/>
          <w:sz w:val="21"/>
          <w:szCs w:val="21"/>
        </w:rPr>
        <w:t xml:space="preserve">Qualify the actual project. </w:t>
      </w:r>
      <w:r>
        <w:rPr>
          <w:rFonts w:ascii="Calibri" w:cs="Calibri" w:eastAsia="Calibri" w:hAnsi="Calibri"/>
          <w:b w:val="false"/>
          <w:bCs w:val="false"/>
          <w:i w:val="false"/>
          <w:iCs w:val="false"/>
          <w:color w:val="222222"/>
          <w:sz w:val="21"/>
          <w:szCs w:val="21"/>
        </w:rPr>
        <w:t xml:space="preserve">Customer, project, stage, one-lines, vendor list, cable schedule, buying process and next decision, before any forecast entry.</w:t>
      </w:r>
    </w:p>
    <w:p>
      <w:pPr>
        <w:pStyle w:val="ListParagraph"/>
        <w:numPr>
          <w:ilvl w:val="0"/>
          <w:numId w:val="3"/>
        </w:numPr>
        <w:spacing w:after="80" w:line="264"/>
      </w:pPr>
      <w:r>
        <w:rPr>
          <w:rFonts w:ascii="Calibri" w:cs="Calibri" w:eastAsia="Calibri" w:hAnsi="Calibri"/>
          <w:b/>
          <w:bCs/>
          <w:i w:val="false"/>
          <w:iCs w:val="false"/>
          <w:color w:val="222222"/>
          <w:sz w:val="21"/>
          <w:szCs w:val="21"/>
        </w:rPr>
        <w:t xml:space="preserve">Enter before specifications are fixed. </w:t>
      </w:r>
      <w:r>
        <w:rPr>
          <w:rFonts w:ascii="Calibri" w:cs="Calibri" w:eastAsia="Calibri" w:hAnsi="Calibri"/>
          <w:b w:val="false"/>
          <w:bCs w:val="false"/>
          <w:i w:val="false"/>
          <w:iCs w:val="false"/>
          <w:color w:val="222222"/>
          <w:sz w:val="21"/>
          <w:szCs w:val="21"/>
        </w:rPr>
        <w:t xml:space="preserve">Use owner, EPC/OE and OEM access to influence constructions, standards and interfaces while scope is still open.</w:t>
      </w:r>
    </w:p>
    <w:p>
      <w:pPr>
        <w:pStyle w:val="ListParagraph"/>
        <w:numPr>
          <w:ilvl w:val="0"/>
          <w:numId w:val="3"/>
        </w:numPr>
        <w:spacing w:after="80" w:line="264"/>
      </w:pPr>
      <w:r>
        <w:rPr>
          <w:rFonts w:ascii="Calibri" w:cs="Calibri" w:eastAsia="Calibri" w:hAnsi="Calibri"/>
          <w:b/>
          <w:bCs/>
          <w:i w:val="false"/>
          <w:iCs w:val="false"/>
          <w:color w:val="222222"/>
          <w:sz w:val="21"/>
          <w:szCs w:val="21"/>
        </w:rPr>
        <w:t xml:space="preserve">Lock the commercial boundary. </w:t>
      </w:r>
      <w:r>
        <w:rPr>
          <w:rFonts w:ascii="Calibri" w:cs="Calibri" w:eastAsia="Calibri" w:hAnsi="Calibri"/>
          <w:b w:val="false"/>
          <w:bCs w:val="false"/>
          <w:i w:val="false"/>
          <w:iCs w:val="false"/>
          <w:color w:val="222222"/>
          <w:sz w:val="21"/>
          <w:szCs w:val="21"/>
        </w:rPr>
        <w:t xml:space="preserve">Record what is factory-wired, owner-furnished, EPC-procured, contractor-installed and distributor-served; the boundary determines offer, buyer, route and revenue path.</w:t>
      </w:r>
    </w:p>
    <w:p>
      <w:pPr>
        <w:pStyle w:val="ListParagraph"/>
        <w:numPr>
          <w:ilvl w:val="0"/>
          <w:numId w:val="3"/>
        </w:numPr>
        <w:spacing w:after="80" w:line="264"/>
      </w:pPr>
      <w:r>
        <w:rPr>
          <w:rFonts w:ascii="Calibri" w:cs="Calibri" w:eastAsia="Calibri" w:hAnsi="Calibri"/>
          <w:b/>
          <w:bCs/>
          <w:i w:val="false"/>
          <w:iCs w:val="false"/>
          <w:color w:val="222222"/>
          <w:sz w:val="21"/>
          <w:szCs w:val="21"/>
        </w:rPr>
        <w:t xml:space="preserve">Engineer compatibility. </w:t>
      </w:r>
      <w:r>
        <w:rPr>
          <w:rFonts w:ascii="Calibri" w:cs="Calibri" w:eastAsia="Calibri" w:hAnsi="Calibri"/>
          <w:b w:val="false"/>
          <w:bCs w:val="false"/>
          <w:i w:val="false"/>
          <w:iCs w:val="false"/>
          <w:color w:val="222222"/>
          <w:sz w:val="21"/>
          <w:szCs w:val="21"/>
        </w:rPr>
        <w:t xml:space="preserve">VFD/motor, hazardous-area, fire, shielding, fiber, bend radius, pulling and termination requirements: credibility comes from engineering, not access.</w:t>
      </w:r>
    </w:p>
    <w:p>
      <w:pPr>
        <w:pStyle w:val="ListParagraph"/>
        <w:numPr>
          <w:ilvl w:val="0"/>
          <w:numId w:val="3"/>
        </w:numPr>
        <w:spacing w:after="80" w:line="264"/>
      </w:pPr>
      <w:r>
        <w:rPr>
          <w:rFonts w:ascii="Calibri" w:cs="Calibri" w:eastAsia="Calibri" w:hAnsi="Calibri"/>
          <w:b/>
          <w:bCs/>
          <w:i w:val="false"/>
          <w:iCs w:val="false"/>
          <w:color w:val="222222"/>
          <w:sz w:val="21"/>
          <w:szCs w:val="21"/>
        </w:rPr>
        <w:t xml:space="preserve">Standardize repeatability. </w:t>
      </w:r>
      <w:r>
        <w:rPr>
          <w:rFonts w:ascii="Calibri" w:cs="Calibri" w:eastAsia="Calibri" w:hAnsi="Calibri"/>
          <w:b w:val="false"/>
          <w:bCs w:val="false"/>
          <w:i w:val="false"/>
          <w:iCs w:val="false"/>
          <w:color w:val="222222"/>
          <w:sz w:val="21"/>
          <w:szCs w:val="21"/>
        </w:rPr>
        <w:t xml:space="preserve">Convert validated scope into approved cable families, package BOMs, labeled kits, schedules and interface data.</w:t>
      </w:r>
    </w:p>
    <w:p>
      <w:pPr>
        <w:pStyle w:val="ListParagraph"/>
        <w:numPr>
          <w:ilvl w:val="0"/>
          <w:numId w:val="3"/>
        </w:numPr>
        <w:spacing w:after="80" w:line="264"/>
      </w:pPr>
      <w:r>
        <w:rPr>
          <w:rFonts w:ascii="Calibri" w:cs="Calibri" w:eastAsia="Calibri" w:hAnsi="Calibri"/>
          <w:b/>
          <w:bCs/>
          <w:i w:val="false"/>
          <w:iCs w:val="false"/>
          <w:color w:val="222222"/>
          <w:sz w:val="21"/>
          <w:szCs w:val="21"/>
        </w:rPr>
        <w:t xml:space="preserve">Run two commercial lanes in parallel. </w:t>
      </w:r>
      <w:r>
        <w:rPr>
          <w:rFonts w:ascii="Calibri" w:cs="Calibri" w:eastAsia="Calibri" w:hAnsi="Calibri"/>
          <w:b w:val="false"/>
          <w:bCs w:val="false"/>
          <w:i w:val="false"/>
          <w:iCs w:val="false"/>
          <w:color w:val="222222"/>
          <w:sz w:val="21"/>
          <w:szCs w:val="21"/>
        </w:rPr>
        <w:t xml:space="preserve">OEM/package approval pulls specification through the factory; EPC, contractor and channel engagement converts field demand. Linked by one project ID, never double-counted.</w:t>
      </w:r>
    </w:p>
    <w:p>
      <w:pPr>
        <w:pStyle w:val="ListParagraph"/>
        <w:numPr>
          <w:ilvl w:val="0"/>
          <w:numId w:val="3"/>
        </w:numPr>
        <w:spacing w:after="80" w:line="264"/>
      </w:pPr>
      <w:r>
        <w:rPr>
          <w:rFonts w:ascii="Calibri" w:cs="Calibri" w:eastAsia="Calibri" w:hAnsi="Calibri"/>
          <w:b/>
          <w:bCs/>
          <w:i w:val="false"/>
          <w:iCs w:val="false"/>
          <w:color w:val="222222"/>
          <w:sz w:val="21"/>
          <w:szCs w:val="21"/>
        </w:rPr>
        <w:t xml:space="preserve">Prove customer value with project-specific evidence. </w:t>
      </w:r>
      <w:r>
        <w:rPr>
          <w:rFonts w:ascii="Calibri" w:cs="Calibri" w:eastAsia="Calibri" w:hAnsi="Calibri"/>
          <w:b w:val="false"/>
          <w:bCs w:val="false"/>
          <w:i w:val="false"/>
          <w:iCs w:val="false"/>
          <w:color w:val="222222"/>
          <w:sz w:val="21"/>
          <w:szCs w:val="21"/>
        </w:rPr>
        <w:t xml:space="preserve">Schedule, labor, supply and risk outcomes from the actual project; adjacent results are not generalized without verification.</w:t>
      </w:r>
    </w:p>
    <w:p>
      <w:pPr>
        <w:pStyle w:val="Heading1"/>
        <w:spacing w:after="160" w:before="320"/>
      </w:pPr>
      <w:r>
        <w:rPr>
          <w:rFonts w:ascii="Calibri" w:cs="Calibri" w:eastAsia="Calibri" w:hAnsi="Calibri"/>
          <w:b/>
          <w:bCs/>
          <w:color w:val="1F3B57"/>
          <w:sz w:val="30"/>
          <w:szCs w:val="30"/>
        </w:rPr>
        <w:t xml:space="preserve">5. Operating model: the 90-day federated pilot</w:t>
      </w:r>
    </w:p>
    <w:p>
      <w:pPr>
        <w:spacing w:after="100" w:before="200"/>
      </w:pPr>
      <w:r>
        <w:rPr>
          <w:rFonts w:ascii="Calibri" w:cs="Calibri" w:eastAsia="Calibri" w:hAnsi="Calibri"/>
          <w:b/>
          <w:bCs/>
          <w:color w:val="0F6E84"/>
          <w:sz w:val="20"/>
          <w:szCs w:val="20"/>
        </w:rPr>
        <w:t xml:space="preserve">Exhibit 4. </w:t>
      </w:r>
      <w:r>
        <w:rPr>
          <w:rFonts w:ascii="Calibri" w:cs="Calibri" w:eastAsia="Calibri" w:hAnsi="Calibri"/>
          <w:b/>
          <w:bCs/>
          <w:color w:val="222222"/>
          <w:sz w:val="20"/>
          <w:szCs w:val="20"/>
        </w:rPr>
        <w:t xml:space="preserve">Three models, one conclusion</w:t>
      </w:r>
    </w:p>
    <w:tbl>
      <w:tblPr>
        <w:tblW w:type="dxa" w:w="9360"/>
        <w:tblBorders>
          <w:top w:val="single" w:color="C9D2DB" w:sz="4"/>
          <w:left w:val="single" w:color="C9D2DB" w:sz="4"/>
          <w:bottom w:val="single" w:color="C9D2DB" w:sz="4"/>
          <w:right w:val="single" w:color="C9D2DB" w:sz="4"/>
          <w:insideH w:val="single" w:color="C9D2DB" w:sz="4"/>
          <w:insideV w:val="single" w:color="C9D2DB" w:sz="4"/>
        </w:tblBorders>
      </w:tblPr>
      <w:tblGrid>
        <w:gridCol w:w="2059"/>
        <w:gridCol w:w="4493"/>
        <w:gridCol w:w="2808"/>
      </w:tblGrid>
      <w:tr>
        <w:trPr>
          <w:tblHeader/>
        </w:trPr>
        <w:tc>
          <w:tcPr>
            <w:tcW w:type="dxa" w:w="2059"/>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Model</w:t>
            </w:r>
          </w:p>
        </w:tc>
        <w:tc>
          <w:tcPr>
            <w:tcW w:type="dxa" w:w="4493"/>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Assessment</w:t>
            </w:r>
          </w:p>
        </w:tc>
        <w:tc>
          <w:tcPr>
            <w:tcW w:type="dxa" w:w="2808"/>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Conclusion</w:t>
            </w:r>
          </w:p>
        </w:tc>
      </w:tr>
      <w:tr>
        <w:tc>
          <w:tcPr>
            <w:tcW w:type="dxa" w:w="2059"/>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Business-unit-led coordination</w:t>
            </w:r>
          </w:p>
        </w:tc>
        <w:tc>
          <w:tcPr>
            <w:tcW w:type="dxa" w:w="4493"/>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Lowest disruption; preserves fragmented visibility, weak enterprise accountability, high channel-conflict risk from fragmented rules</w:t>
            </w:r>
          </w:p>
        </w:tc>
        <w:tc>
          <w:tcPr>
            <w:tcW w:type="dxa" w:w="2808"/>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Keep BU execution; do not use as the coordination model</w:t>
            </w:r>
          </w:p>
        </w:tc>
      </w:tr>
      <w:tr>
        <w:tc>
          <w:tcPr>
            <w:tcW w:type="dxa" w:w="2059"/>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Federated PowerGen platform</w:t>
            </w:r>
          </w:p>
        </w:tc>
        <w:tc>
          <w:tcPr>
            <w:tcW w:type="dxa" w:w="4493"/>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Potentially one market system while preserving commercial and P&amp;L responsibility; requires explicit authority, participation and escalation</w:t>
            </w:r>
          </w:p>
        </w:tc>
        <w:tc>
          <w:tcPr>
            <w:tcW w:type="dxa" w:w="2808"/>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Recommended as a testable 90-day hypothesis</w:t>
            </w:r>
          </w:p>
        </w:tc>
      </w:tr>
      <w:tr>
        <w:tc>
          <w:tcPr>
            <w:tcW w:type="dxa" w:w="2059"/>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Standalone vertical</w:t>
            </w:r>
          </w:p>
        </w:tc>
        <w:tc>
          <w:tcPr>
            <w:tcW w:type="dxa" w:w="4493"/>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Maximum structural clarity at the cost of the highest disruption, resource need, P&amp;L conflict and channel risk; insufficient evidence today</w:t>
            </w:r>
          </w:p>
        </w:tc>
        <w:tc>
          <w:tcPr>
            <w:tcW w:type="dxa" w:w="2808"/>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Reconsider only if the pilot proves recurring cross-business decisions cannot be made under the federated charter</w:t>
            </w:r>
          </w:p>
        </w:tc>
      </w:tr>
    </w:tbl>
    <w:p>
      <w:pPr>
        <w:pStyle w:val="Heading2"/>
        <w:spacing w:after="120" w:before="240"/>
      </w:pPr>
      <w:r>
        <w:rPr>
          <w:rFonts w:ascii="Calibri" w:cs="Calibri" w:eastAsia="Calibri" w:hAnsi="Calibri"/>
          <w:b/>
          <w:bCs/>
          <w:color w:val="0F6E84"/>
          <w:sz w:val="24"/>
          <w:szCs w:val="24"/>
        </w:rPr>
        <w:t xml:space="preserve">What PowerGen may and may not do</w:t>
      </w:r>
    </w:p>
    <w:tbl>
      <w:tblPr>
        <w:tblW w:type="dxa" w:w="9360"/>
        <w:tblBorders>
          <w:top w:val="single" w:color="C9D2DB" w:sz="4"/>
          <w:left w:val="single" w:color="C9D2DB" w:sz="4"/>
          <w:bottom w:val="single" w:color="C9D2DB" w:sz="4"/>
          <w:right w:val="single" w:color="C9D2DB" w:sz="4"/>
          <w:insideH w:val="single" w:color="C9D2DB" w:sz="4"/>
          <w:insideV w:val="single" w:color="C9D2DB" w:sz="4"/>
        </w:tblBorders>
      </w:tblPr>
      <w:tblGrid>
        <w:gridCol w:w="4680"/>
        <w:gridCol w:w="4680"/>
      </w:tblGrid>
      <w:tr>
        <w:trPr>
          <w:tblHeader/>
        </w:trPr>
        <w:tc>
          <w:tcPr>
            <w:tcW w:type="dxa" w:w="4680"/>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If approved, PowerGen may</w:t>
            </w:r>
          </w:p>
        </w:tc>
        <w:tc>
          <w:tcPr>
            <w:tcW w:type="dxa" w:w="4680"/>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PowerGen may not</w:t>
            </w:r>
          </w:p>
        </w:tc>
      </w:tr>
      <w:tr>
        <w:tc>
          <w:tcPr>
            <w:tcW w:type="dxa" w:w="4680"/>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Maintain the common account and project view; propose and, after approval, govern the stage taxonomy</w:t>
            </w:r>
          </w:p>
        </w:tc>
        <w:tc>
          <w:tcPr>
            <w:tcW w:type="dxa" w:w="4680"/>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Reassign an existing account unilaterally</w:t>
            </w:r>
          </w:p>
        </w:tc>
      </w:tr>
      <w:tr>
        <w:tc>
          <w:tcPr>
            <w:tcW w:type="dxa" w:w="4680"/>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Convene cross-business teams for lighthouse pursuits and require a complete pursuit charter before enterprise-priority status</w:t>
            </w:r>
          </w:p>
        </w:tc>
        <w:tc>
          <w:tcPr>
            <w:tcW w:type="dxa" w:w="4680"/>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Quote or approve pricing outside existing authority</w:t>
            </w:r>
          </w:p>
        </w:tc>
      </w:tr>
      <w:tr>
        <w:tc>
          <w:tcPr>
            <w:tcW w:type="dxa" w:w="4680"/>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Recommend portfolio and resource tradeoffs; coordinate the integrated customer narrative</w:t>
            </w:r>
          </w:p>
        </w:tc>
        <w:tc>
          <w:tcPr>
            <w:tcW w:type="dxa" w:w="4680"/>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Promise capacity, lead time, engineering performance or delivery</w:t>
            </w:r>
          </w:p>
        </w:tc>
      </w:tr>
      <w:tr>
        <w:tc>
          <w:tcPr>
            <w:tcW w:type="dxa" w:w="4680"/>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Escalate unresolved account, capacity, route and credit conflicts to the sponsor</w:t>
            </w:r>
          </w:p>
        </w:tc>
        <w:tc>
          <w:tcPr>
            <w:tcW w:type="dxa" w:w="4680"/>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Change a distributor, agent or direct-account route unilaterally</w:t>
            </w:r>
          </w:p>
        </w:tc>
      </w:tr>
      <w:tr>
        <w:tc>
          <w:tcPr>
            <w:tcW w:type="dxa" w:w="4680"/>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Report progress, decisions, risks and evidence gaps to leadership</w:t>
            </w:r>
          </w:p>
        </w:tc>
        <w:tc>
          <w:tcPr>
            <w:tcW w:type="dxa" w:w="4680"/>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Take booked revenue, P&amp;L, fulfillment, quality or warranty responsibility, or present influence as an award</w:t>
            </w:r>
          </w:p>
        </w:tc>
      </w:tr>
    </w:tbl>
    <w:p>
      <w:pPr>
        <w:pStyle w:val="Heading2"/>
        <w:spacing w:after="120" w:before="240"/>
      </w:pPr>
      <w:r>
        <w:rPr>
          <w:rFonts w:ascii="Calibri" w:cs="Calibri" w:eastAsia="Calibri" w:hAnsi="Calibri"/>
          <w:b/>
          <w:bCs/>
          <w:color w:val="0F6E84"/>
          <w:sz w:val="24"/>
          <w:szCs w:val="24"/>
        </w:rPr>
        <w:t xml:space="preserve">Route guardrails that make it safe</w:t>
      </w:r>
    </w:p>
    <w:p>
      <w:pPr>
        <w:pStyle w:val="ListParagraph"/>
        <w:numPr>
          <w:ilvl w:val="0"/>
          <w:numId w:val="2"/>
        </w:numPr>
        <w:spacing w:after="80" w:line="264"/>
      </w:pPr>
      <w:r>
        <w:rPr>
          <w:rFonts w:ascii="Calibri" w:cs="Calibri" w:eastAsia="Calibri" w:hAnsi="Calibri"/>
          <w:b w:val="false"/>
          <w:bCs w:val="false"/>
          <w:i w:val="false"/>
          <w:iCs w:val="false"/>
          <w:color w:val="222222"/>
          <w:sz w:val="21"/>
          <w:szCs w:val="21"/>
        </w:rPr>
        <w:t xml:space="preserve">One project, one pursuit charter: project, stage, pursuit lead, relationship lead, specifier, buyer, scope boundary, value basis, and route plus revenue owner for every defined buying scope.</w:t>
      </w:r>
    </w:p>
    <w:p>
      <w:pPr>
        <w:pStyle w:val="ListParagraph"/>
        <w:numPr>
          <w:ilvl w:val="0"/>
          <w:numId w:val="2"/>
        </w:numPr>
        <w:spacing w:after="80" w:line="264"/>
      </w:pPr>
      <w:r>
        <w:rPr>
          <w:rFonts w:ascii="Calibri" w:cs="Calibri" w:eastAsia="Calibri" w:hAnsi="Calibri"/>
          <w:b w:val="false"/>
          <w:bCs w:val="false"/>
          <w:i w:val="false"/>
          <w:iCs w:val="false"/>
          <w:color w:val="222222"/>
          <w:sz w:val="21"/>
          <w:szCs w:val="21"/>
        </w:rPr>
        <w:t xml:space="preserve">Influence and purchase are linked but never double-counted; owner, OE or OEM influence does not determine who buys the field cable.</w:t>
      </w:r>
    </w:p>
    <w:p>
      <w:pPr>
        <w:pStyle w:val="ListParagraph"/>
        <w:numPr>
          <w:ilvl w:val="0"/>
          <w:numId w:val="2"/>
        </w:numPr>
        <w:spacing w:after="80" w:line="264"/>
      </w:pPr>
      <w:r>
        <w:rPr>
          <w:rFonts w:ascii="Calibri" w:cs="Calibri" w:eastAsia="Calibri" w:hAnsi="Calibri"/>
          <w:b w:val="false"/>
          <w:bCs w:val="false"/>
          <w:i w:val="false"/>
          <w:iCs w:val="false"/>
          <w:color w:val="222222"/>
          <w:sz w:val="21"/>
          <w:szCs w:val="21"/>
        </w:rPr>
        <w:t xml:space="preserve">Direct is not the default; distribution is used where cuts, kits, credit, staging and logistics create project value; agents create access under existing agreements without automatically determining credit.</w:t>
      </w:r>
    </w:p>
    <w:p>
      <w:pPr>
        <w:pStyle w:val="ListParagraph"/>
        <w:numPr>
          <w:ilvl w:val="0"/>
          <w:numId w:val="2"/>
        </w:numPr>
        <w:spacing w:after="80" w:line="264"/>
      </w:pPr>
      <w:r>
        <w:rPr>
          <w:rFonts w:ascii="Calibri" w:cs="Calibri" w:eastAsia="Calibri" w:hAnsi="Calibri"/>
          <w:b w:val="false"/>
          <w:bCs w:val="false"/>
          <w:i w:val="false"/>
          <w:iCs w:val="false"/>
          <w:color w:val="222222"/>
          <w:sz w:val="21"/>
          <w:szCs w:val="21"/>
        </w:rPr>
        <w:t xml:space="preserve">No uncoordinated competing quote paths; no capacity promise without the responsible business; exceptions recorded with reason, approver, scope and duration.</w:t>
      </w:r>
    </w:p>
    <w:p>
      <w:pPr>
        <w:pStyle w:val="ListParagraph"/>
        <w:numPr>
          <w:ilvl w:val="0"/>
          <w:numId w:val="2"/>
        </w:numPr>
        <w:spacing w:after="80" w:line="264"/>
      </w:pPr>
      <w:r>
        <w:rPr>
          <w:rFonts w:ascii="Calibri" w:cs="Calibri" w:eastAsia="Calibri" w:hAnsi="Calibri"/>
          <w:b w:val="false"/>
          <w:bCs w:val="false"/>
          <w:i w:val="false"/>
          <w:iCs w:val="false"/>
          <w:color w:val="222222"/>
          <w:sz w:val="21"/>
          <w:szCs w:val="21"/>
        </w:rPr>
        <w:t xml:space="preserve">Route conflict is resolved before proposal, quote or commitment, with a proposed 48-hour sponsor-response target if D-07 is approved.</w:t>
      </w:r>
    </w:p>
    <w:p>
      <w:r>
        <w:br w:type="page"/>
      </w:r>
    </w:p>
    <w:p>
      <w:pPr>
        <w:pStyle w:val="Heading1"/>
        <w:spacing w:after="160" w:before="320"/>
      </w:pPr>
      <w:r>
        <w:rPr>
          <w:rFonts w:ascii="Calibri" w:cs="Calibri" w:eastAsia="Calibri" w:hAnsi="Calibri"/>
          <w:b/>
          <w:bCs/>
          <w:color w:val="1F3B57"/>
          <w:sz w:val="30"/>
          <w:szCs w:val="30"/>
        </w:rPr>
        <w:t xml:space="preserve">6. The ten Thursday decisions</w:t>
      </w:r>
    </w:p>
    <w:p>
      <w:pPr>
        <w:spacing w:after="100" w:before="200"/>
      </w:pPr>
      <w:r>
        <w:rPr>
          <w:rFonts w:ascii="Calibri" w:cs="Calibri" w:eastAsia="Calibri" w:hAnsi="Calibri"/>
          <w:b/>
          <w:bCs/>
          <w:color w:val="0F6E84"/>
          <w:sz w:val="20"/>
          <w:szCs w:val="20"/>
        </w:rPr>
        <w:t xml:space="preserve">Exhibit 5. </w:t>
      </w:r>
      <w:r>
        <w:rPr>
          <w:rFonts w:ascii="Calibri" w:cs="Calibri" w:eastAsia="Calibri" w:hAnsi="Calibri"/>
          <w:b/>
          <w:bCs/>
          <w:color w:val="222222"/>
          <w:sz w:val="20"/>
          <w:szCs w:val="20"/>
        </w:rPr>
        <w:t xml:space="preserve">Decision register D-01 to D-10, recommended defaults</w:t>
      </w:r>
    </w:p>
    <w:tbl>
      <w:tblPr>
        <w:tblW w:type="dxa" w:w="9360"/>
        <w:tblBorders>
          <w:top w:val="single" w:color="C9D2DB" w:sz="4"/>
          <w:left w:val="single" w:color="C9D2DB" w:sz="4"/>
          <w:bottom w:val="single" w:color="C9D2DB" w:sz="4"/>
          <w:right w:val="single" w:color="C9D2DB" w:sz="4"/>
          <w:insideH w:val="single" w:color="C9D2DB" w:sz="4"/>
          <w:insideV w:val="single" w:color="C9D2DB" w:sz="4"/>
        </w:tblBorders>
      </w:tblPr>
      <w:tblGrid>
        <w:gridCol w:w="655"/>
        <w:gridCol w:w="1685"/>
        <w:gridCol w:w="5148"/>
        <w:gridCol w:w="1872"/>
      </w:tblGrid>
      <w:tr>
        <w:trPr>
          <w:tblHeader/>
        </w:trPr>
        <w:tc>
          <w:tcPr>
            <w:tcW w:type="dxa" w:w="655"/>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ID</w:t>
            </w:r>
          </w:p>
        </w:tc>
        <w:tc>
          <w:tcPr>
            <w:tcW w:type="dxa" w:w="1685"/>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Decision</w:t>
            </w:r>
          </w:p>
        </w:tc>
        <w:tc>
          <w:tcPr>
            <w:tcW w:type="dxa" w:w="5148"/>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Recommended default</w:t>
            </w:r>
          </w:p>
        </w:tc>
        <w:tc>
          <w:tcPr>
            <w:tcW w:type="dxa" w:w="1872"/>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Owner</w:t>
            </w:r>
          </w:p>
        </w:tc>
      </w:tr>
      <w:tr>
        <w:tc>
          <w:tcPr>
            <w:tcW w:type="dxa" w:w="655"/>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D-01</w:t>
            </w:r>
          </w:p>
        </w:tc>
        <w:tc>
          <w:tcPr>
            <w:tcW w:type="dxa" w:w="1685"/>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Enterprise scope</w:t>
            </w:r>
          </w:p>
        </w:tc>
        <w:tc>
          <w:tcPr>
            <w:tcW w:type="dxa" w:w="5148"/>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Immediate: new-build gas, OEM/modular. Conditional: repower/brownfield. Foundation mapping: Utility/Renewables. Evidence-map only: Data Center/BTM, nuclear. EPC/OE is a route; prefab an enabler</w:t>
            </w:r>
          </w:p>
        </w:tc>
        <w:tc>
          <w:tcPr>
            <w:tcW w:type="dxa" w:w="1872"/>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Marc; Amber ratifies</w:t>
            </w:r>
          </w:p>
        </w:tc>
      </w:tr>
      <w:tr>
        <w:tc>
          <w:tcPr>
            <w:tcW w:type="dxa" w:w="655"/>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D-02</w:t>
            </w:r>
          </w:p>
        </w:tc>
        <w:tc>
          <w:tcPr>
            <w:tcW w:type="dxa" w:w="1685"/>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Operating model</w:t>
            </w:r>
          </w:p>
        </w:tc>
        <w:tc>
          <w:tcPr>
            <w:tcW w:type="dxa" w:w="5148"/>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Interim federated model; pilot Aug 21 to Nov 18; Amber ratifies, modifies or stops in September</w:t>
            </w:r>
          </w:p>
        </w:tc>
        <w:tc>
          <w:tcPr>
            <w:tcW w:type="dxa" w:w="1872"/>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Marc; Amber</w:t>
            </w:r>
          </w:p>
        </w:tc>
      </w:tr>
      <w:tr>
        <w:tc>
          <w:tcPr>
            <w:tcW w:type="dxa" w:w="655"/>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D-03</w:t>
            </w:r>
          </w:p>
        </w:tc>
        <w:tc>
          <w:tcPr>
            <w:tcW w:type="dxa" w:w="1685"/>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PowerGen authority</w:t>
            </w:r>
          </w:p>
        </w:tc>
        <w:tc>
          <w:tcPr>
            <w:tcW w:type="dxa" w:w="5148"/>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Strategy development, prioritization recommendations, consolidated view, discovery standards, orchestration, reporting; Marc approves priorities and material changes</w:t>
            </w:r>
          </w:p>
        </w:tc>
        <w:tc>
          <w:tcPr>
            <w:tcW w:type="dxa" w:w="1872"/>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Marc</w:t>
            </w:r>
          </w:p>
        </w:tc>
      </w:tr>
      <w:tr>
        <w:tc>
          <w:tcPr>
            <w:tcW w:type="dxa" w:w="655"/>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D-04</w:t>
            </w:r>
          </w:p>
        </w:tc>
        <w:tc>
          <w:tcPr>
            <w:tcW w:type="dxa" w:w="1685"/>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Validation priorities</w:t>
            </w:r>
          </w:p>
        </w:tc>
        <w:tc>
          <w:tcPr>
            <w:tcW w:type="dxa" w:w="5148"/>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Both immediate priorities resourced now; repower/brownfield only after its activation gate</w:t>
            </w:r>
          </w:p>
        </w:tc>
        <w:tc>
          <w:tcPr>
            <w:tcW w:type="dxa" w:w="1872"/>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Marc</w:t>
            </w:r>
          </w:p>
        </w:tc>
      </w:tr>
      <w:tr>
        <w:tc>
          <w:tcPr>
            <w:tcW w:type="dxa" w:w="655"/>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D-05</w:t>
            </w:r>
          </w:p>
        </w:tc>
        <w:tc>
          <w:tcPr>
            <w:tcW w:type="dxa" w:w="1685"/>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Pursuit leadership</w:t>
            </w:r>
          </w:p>
        </w:tc>
        <w:tc>
          <w:tcPr>
            <w:tcW w:type="dxa" w:w="5148"/>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One orchestration owner, existing relationship lead, and product/scope owner per lighthouse pursuit</w:t>
            </w:r>
          </w:p>
        </w:tc>
        <w:tc>
          <w:tcPr>
            <w:tcW w:type="dxa" w:w="1872"/>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Marc and affected leaders</w:t>
            </w:r>
          </w:p>
        </w:tc>
      </w:tr>
      <w:tr>
        <w:tc>
          <w:tcPr>
            <w:tcW w:type="dxa" w:w="655"/>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D-06</w:t>
            </w:r>
          </w:p>
        </w:tc>
        <w:tc>
          <w:tcPr>
            <w:tcW w:type="dxa" w:w="1685"/>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Route principles</w:t>
            </w:r>
          </w:p>
        </w:tc>
        <w:tc>
          <w:tcPr>
            <w:tcW w:type="dxa" w:w="5148"/>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Distinct routes per buying scope; OEM approval and field conversion in parallel; account-specific rules stay with commercial owners</w:t>
            </w:r>
          </w:p>
        </w:tc>
        <w:tc>
          <w:tcPr>
            <w:tcW w:type="dxa" w:w="1872"/>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Marc; commercial owners</w:t>
            </w:r>
          </w:p>
        </w:tc>
      </w:tr>
      <w:tr>
        <w:tc>
          <w:tcPr>
            <w:tcW w:type="dxa" w:w="655"/>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D-07</w:t>
            </w:r>
          </w:p>
        </w:tc>
        <w:tc>
          <w:tcPr>
            <w:tcW w:type="dxa" w:w="1685"/>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Route, credit, overlap</w:t>
            </w:r>
          </w:p>
        </w:tc>
        <w:tc>
          <w:tcPr>
            <w:tcW w:type="dxa" w:w="5148"/>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Route and revenue owner recorded before proposal; proposed 48-hour sponsor-response target for conflicts</w:t>
            </w:r>
          </w:p>
        </w:tc>
        <w:tc>
          <w:tcPr>
            <w:tcW w:type="dxa" w:w="1872"/>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Marc; affected P&amp;L leaders</w:t>
            </w:r>
          </w:p>
        </w:tc>
      </w:tr>
      <w:tr>
        <w:tc>
          <w:tcPr>
            <w:tcW w:type="dxa" w:w="655"/>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D-08</w:t>
            </w:r>
          </w:p>
        </w:tc>
        <w:tc>
          <w:tcPr>
            <w:tcW w:type="dxa" w:w="1685"/>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30-day resources</w:t>
            </w:r>
          </w:p>
        </w:tc>
        <w:tc>
          <w:tcPr>
            <w:tcW w:type="dxa" w:w="5148"/>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Named delegate, minimum time and output per function, per the resource table</w:t>
            </w:r>
          </w:p>
        </w:tc>
        <w:tc>
          <w:tcPr>
            <w:tcW w:type="dxa" w:w="1872"/>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Marc secures; functions deliver</w:t>
            </w:r>
          </w:p>
        </w:tc>
      </w:tr>
      <w:tr>
        <w:tc>
          <w:tcPr>
            <w:tcW w:type="dxa" w:w="655"/>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D-09</w:t>
            </w:r>
          </w:p>
        </w:tc>
        <w:tc>
          <w:tcPr>
            <w:tcW w:type="dxa" w:w="1685"/>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Source of truth</w:t>
            </w:r>
          </w:p>
        </w:tc>
        <w:tc>
          <w:tcPr>
            <w:tcW w:type="dxa" w:w="5148"/>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S08 as controlled interim view; PowerGen proposes taxonomy, Marc approves, CRM owns fields, account owners maintain records</w:t>
            </w:r>
          </w:p>
        </w:tc>
        <w:tc>
          <w:tcPr>
            <w:tcW w:type="dxa" w:w="1872"/>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Marc; CRM owner</w:t>
            </w:r>
          </w:p>
        </w:tc>
      </w:tr>
      <w:tr>
        <w:tc>
          <w:tcPr>
            <w:tcW w:type="dxa" w:w="655"/>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D-10</w:t>
            </w:r>
          </w:p>
        </w:tc>
        <w:tc>
          <w:tcPr>
            <w:tcW w:type="dxa" w:w="1685"/>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September ask</w:t>
            </w:r>
          </w:p>
        </w:tc>
        <w:tc>
          <w:tcPr>
            <w:tcW w:type="dxa" w:w="5148"/>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Amber ratifies, modifies or stops model, scope, priorities, decision rights, resources and scorecard</w:t>
            </w:r>
          </w:p>
        </w:tc>
        <w:tc>
          <w:tcPr>
            <w:tcW w:type="dxa" w:w="1872"/>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Marc sponsors; Stephan prepares</w:t>
            </w:r>
          </w:p>
        </w:tc>
      </w:tr>
    </w:tbl>
    <w:p>
      <w:pPr>
        <w:pStyle w:val="Heading1"/>
        <w:spacing w:after="160" w:before="320"/>
      </w:pPr>
      <w:r>
        <w:rPr>
          <w:rFonts w:ascii="Calibri" w:cs="Calibri" w:eastAsia="Calibri" w:hAnsi="Calibri"/>
          <w:b/>
          <w:bCs/>
          <w:color w:val="1F3B57"/>
          <w:sz w:val="30"/>
          <w:szCs w:val="30"/>
        </w:rPr>
        <w:t xml:space="preserve">7. Mobilization and measurement</w:t>
      </w:r>
    </w:p>
    <w:p>
      <w:pPr>
        <w:spacing w:after="140" w:line="264"/>
      </w:pPr>
      <w:r>
        <w:rPr>
          <w:rFonts w:ascii="Calibri" w:cs="Calibri" w:eastAsia="Calibri" w:hAnsi="Calibri"/>
          <w:b w:val="false"/>
          <w:bCs w:val="false"/>
          <w:i w:val="false"/>
          <w:iCs w:val="false"/>
          <w:color w:val="222222"/>
          <w:sz w:val="21"/>
          <w:szCs w:val="21"/>
        </w:rPr>
        <w:t xml:space="preserve">The 30-day mobilization (August 20 to September 18) runs eleven dated workstreams, each with an owner and an acceptance test: the decision register, pilot launch, current-state baseline, pipeline truth, evidence and sizing reconciliation, route and credit rules, the nine open governance RIDs, proof and messaging, playbook build, customer testing, and strategy integration into v0.1 by September 16. The full plan with acceptance tests is file 06.</w:t>
      </w:r>
    </w:p>
    <w:p>
      <w:pPr>
        <w:pStyle w:val="Heading2"/>
        <w:spacing w:after="120" w:before="240"/>
      </w:pPr>
      <w:r>
        <w:rPr>
          <w:rFonts w:ascii="Calibri" w:cs="Calibri" w:eastAsia="Calibri" w:hAnsi="Calibri"/>
          <w:b/>
          <w:bCs/>
          <w:color w:val="0F6E84"/>
          <w:sz w:val="24"/>
          <w:szCs w:val="24"/>
        </w:rPr>
        <w:t xml:space="preserve">The 30-day scorecard</w:t>
      </w:r>
    </w:p>
    <w:p>
      <w:pPr>
        <w:pStyle w:val="ListParagraph"/>
        <w:numPr>
          <w:ilvl w:val="0"/>
          <w:numId w:val="2"/>
        </w:numPr>
        <w:spacing w:after="80" w:line="264"/>
      </w:pPr>
      <w:r>
        <w:rPr>
          <w:rFonts w:ascii="Calibri" w:cs="Calibri" w:eastAsia="Calibri" w:hAnsi="Calibri"/>
          <w:b w:val="false"/>
          <w:bCs w:val="false"/>
          <w:i w:val="false"/>
          <w:iCs w:val="false"/>
          <w:color w:val="222222"/>
          <w:sz w:val="21"/>
          <w:szCs w:val="21"/>
        </w:rPr>
        <w:t xml:space="preserve">3-5 IPP lighthouse pursuits fully chartered and 3-5 OEM/modular lighthouse accounts fully qualified.</w:t>
      </w:r>
    </w:p>
    <w:p>
      <w:pPr>
        <w:pStyle w:val="ListParagraph"/>
        <w:numPr>
          <w:ilvl w:val="0"/>
          <w:numId w:val="2"/>
        </w:numPr>
        <w:spacing w:after="80" w:line="264"/>
      </w:pPr>
      <w:r>
        <w:rPr>
          <w:rFonts w:ascii="Calibri" w:cs="Calibri" w:eastAsia="Calibri" w:hAnsi="Calibri"/>
          <w:b w:val="false"/>
          <w:bCs w:val="false"/>
          <w:i w:val="false"/>
          <w:iCs w:val="false"/>
          <w:color w:val="222222"/>
          <w:sz w:val="21"/>
          <w:szCs w:val="21"/>
        </w:rPr>
        <w:t xml:space="preserve">Every lighthouse project carries a complete influence and buying map: owner, OE/EPC, OEM, contractor/channel and internal leads.</w:t>
      </w:r>
    </w:p>
    <w:p>
      <w:pPr>
        <w:pStyle w:val="ListParagraph"/>
        <w:numPr>
          <w:ilvl w:val="0"/>
          <w:numId w:val="2"/>
        </w:numPr>
        <w:spacing w:after="80" w:line="264"/>
      </w:pPr>
      <w:r>
        <w:rPr>
          <w:rFonts w:ascii="Calibri" w:cs="Calibri" w:eastAsia="Calibri" w:hAnsi="Calibri"/>
          <w:b w:val="false"/>
          <w:bCs w:val="false"/>
          <w:i w:val="false"/>
          <w:iCs w:val="false"/>
          <w:color w:val="222222"/>
          <w:sz w:val="21"/>
          <w:szCs w:val="21"/>
        </w:rPr>
        <w:t xml:space="preserve">All nine governance RIDs decided or escalated with dates; all major numerical conflicts reconciled or explicitly marked unresolved.</w:t>
      </w:r>
    </w:p>
    <w:p>
      <w:pPr>
        <w:pStyle w:val="ListParagraph"/>
        <w:numPr>
          <w:ilvl w:val="0"/>
          <w:numId w:val="2"/>
        </w:numPr>
        <w:spacing w:after="80" w:line="264"/>
      </w:pPr>
      <w:r>
        <w:rPr>
          <w:rFonts w:ascii="Calibri" w:cs="Calibri" w:eastAsia="Calibri" w:hAnsi="Calibri"/>
          <w:b w:val="false"/>
          <w:bCs w:val="false"/>
          <w:i w:val="false"/>
          <w:iCs w:val="false"/>
          <w:color w:val="222222"/>
          <w:sz w:val="21"/>
          <w:szCs w:val="21"/>
        </w:rPr>
        <w:t xml:space="preserve">At least one externally approved proof point and at least three external discovery conversations across the two immediate priorities.</w:t>
      </w:r>
    </w:p>
    <w:p>
      <w:pPr>
        <w:pStyle w:val="ListParagraph"/>
        <w:numPr>
          <w:ilvl w:val="0"/>
          <w:numId w:val="2"/>
        </w:numPr>
        <w:spacing w:after="80" w:line="264"/>
      </w:pPr>
      <w:r>
        <w:rPr>
          <w:rFonts w:ascii="Calibri" w:cs="Calibri" w:eastAsia="Calibri" w:hAnsi="Calibri"/>
          <w:b w:val="false"/>
          <w:bCs w:val="false"/>
          <w:i w:val="false"/>
          <w:iCs w:val="false"/>
          <w:color w:val="222222"/>
          <w:sz w:val="21"/>
          <w:szCs w:val="21"/>
        </w:rPr>
        <w:t xml:space="preserve">Named functional delegates actively participating from every required function.</w:t>
      </w:r>
    </w:p>
    <w:p>
      <w:pPr>
        <w:pStyle w:val="Heading2"/>
        <w:spacing w:after="120" w:before="240"/>
      </w:pPr>
      <w:r>
        <w:rPr>
          <w:rFonts w:ascii="Calibri" w:cs="Calibri" w:eastAsia="Calibri" w:hAnsi="Calibri"/>
          <w:b/>
          <w:bCs/>
          <w:color w:val="0F6E84"/>
          <w:sz w:val="24"/>
          <w:szCs w:val="24"/>
        </w:rPr>
        <w:t xml:space="preserve">Day-90 decision, November 18</w:t>
      </w:r>
    </w:p>
    <w:p>
      <w:pPr>
        <w:spacing w:after="140" w:line="264"/>
      </w:pPr>
      <w:r>
        <w:rPr>
          <w:rFonts w:ascii="Calibri" w:cs="Calibri" w:eastAsia="Calibri" w:hAnsi="Calibri"/>
          <w:b w:val="false"/>
          <w:bCs w:val="false"/>
          <w:i w:val="false"/>
          <w:iCs w:val="false"/>
          <w:color w:val="222222"/>
          <w:sz w:val="21"/>
          <w:szCs w:val="21"/>
        </w:rPr>
        <w:t xml:space="preserve">Pre-agreed criteria decide scale, continue-with-changes, pivot or stop. Scaling requires at least two external customers validating the problem and Southwire role, at least one pursuit reaching an evidence-backed commercial gate, buying-scope routes resolved without material account damage, and sustained functional support. A standalone vertical is considered only if commercial evidence is real and recurring cross-business decisions still cannot be made under the federated charter. Structure is an outcome of evidence, not the starting assumption.</w:t>
      </w:r>
    </w:p>
    <w:p>
      <w:pPr>
        <w:pStyle w:val="Heading1"/>
        <w:spacing w:after="160" w:before="320"/>
      </w:pPr>
      <w:r>
        <w:rPr>
          <w:rFonts w:ascii="Calibri" w:cs="Calibri" w:eastAsia="Calibri" w:hAnsi="Calibri"/>
          <w:b/>
          <w:bCs/>
          <w:color w:val="1F3B57"/>
          <w:sz w:val="30"/>
          <w:szCs w:val="30"/>
        </w:rPr>
        <w:t xml:space="preserve">Appendix: what would change this recommendation</w:t>
      </w:r>
    </w:p>
    <w:p>
      <w:pPr>
        <w:spacing w:after="140" w:line="264"/>
      </w:pPr>
      <w:r>
        <w:rPr>
          <w:rFonts w:ascii="Calibri" w:cs="Calibri" w:eastAsia="Calibri" w:hAnsi="Calibri"/>
          <w:b w:val="false"/>
          <w:bCs w:val="false"/>
          <w:i w:val="false"/>
          <w:iCs w:val="false"/>
          <w:color w:val="222222"/>
          <w:sz w:val="21"/>
          <w:szCs w:val="21"/>
        </w:rPr>
        <w:t xml:space="preserve">The recommendation is reconsidered if a sponsor will not grant convening and escalation authority, businesses cannot commit named resources, account or channel commitments block the selected lighthouse pursuits, product or economic evidence makes the priorities unattractive, customer discovery disproves the early-influence and Time to Power proposition, the work turns out to fit inside one business without recurring handoffs, or a standalone vertical is documented with materially superior benefits. Ten red-team questions and ten open questions with owners, due dates and defaults are maintained in file 07.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B6573"/>
        <w:sz w:val="15"/>
        <w:szCs w:val="15"/>
      </w:rPr>
      <w:t xml:space="preserve">Prepared for the Southwire Power Generation working session | August 2026</w:t>
    </w:r>
    <w:r>
      <w:rPr>
        <w:rFonts w:ascii="Calibri" w:cs="Calibri" w:eastAsia="Calibri" w:hAnsi="Calibri"/>
        <w:color w:val="5B6573"/>
        <w:sz w:val="15"/>
        <w:szCs w:val="15"/>
      </w:rPr>
      <w:t xml:space="preserve">	Page </w:t>
    </w:r>
    <w:r>
      <w:rPr>
        <w:rFonts w:ascii="Calibri" w:cs="Calibri" w:eastAsia="Calibri" w:hAnsi="Calibri"/>
        <w:color w:val="5B65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60"/>
    </w:pPr>
    <w:r>
      <w:rPr>
        <w:rFonts w:ascii="Calibri" w:cs="Calibri" w:eastAsia="Calibri" w:hAnsi="Calibri"/>
        <w:b/>
        <w:bCs/>
        <w:color w:val="5B6573"/>
        <w:sz w:val="15"/>
        <w:szCs w:val="15"/>
      </w:rPr>
      <w:t xml:space="preserve">SOUTHWIRE | ENTERPRISE POWER GENERATION | VERSION 0</w:t>
    </w:r>
    <w:r>
      <w:rPr>
        <w:rFonts w:ascii="Calibri" w:cs="Calibri" w:eastAsia="Calibri" w:hAnsi="Calibri"/>
        <w:color w:val="5B6573"/>
        <w:sz w:val="15"/>
        <w:szCs w:val="15"/>
      </w:rPr>
      <w:t xml:space="preserve">	CONFIDENTIAL | WORKING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2026-08-18T02:40:05.856Z</dcterms:created>
  <dcterms:modified xsi:type="dcterms:W3CDTF">2026-08-18T02:40:05.868Z</dcterms:modified>
</cp:coreProperties>
</file>

<file path=docProps/custom.xml><?xml version="1.0" encoding="utf-8"?>
<Properties xmlns="http://schemas.openxmlformats.org/officeDocument/2006/custom-properties" xmlns:vt="http://schemas.openxmlformats.org/officeDocument/2006/docPropsVTypes"/>
</file>