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pPr>
      <w:r>
        <w:rPr>
          <w:rFonts w:ascii="Calibri" w:cs="Calibri" w:eastAsia="Calibri" w:hAnsi="Calibri"/>
          <w:b/>
          <w:bCs/>
          <w:color w:val="0F6E84"/>
          <w:sz w:val="22"/>
          <w:szCs w:val="22"/>
        </w:rPr>
        <w:t xml:space="preserve">PROPOSAL | 90-DAY PILOT ENGAGEMENT</w:t>
      </w:r>
    </w:p>
    <w:p>
      <w:pPr>
        <w:spacing w:after="200"/>
      </w:pPr>
      <w:r>
        <w:rPr>
          <w:rFonts w:ascii="Calibri" w:cs="Calibri" w:eastAsia="Calibri" w:hAnsi="Calibri"/>
          <w:b/>
          <w:bCs/>
          <w:color w:val="1F3B57"/>
          <w:sz w:val="52"/>
          <w:szCs w:val="52"/>
        </w:rPr>
        <w:t xml:space="preserve">The PowerGen Validation Pilot</w:t>
      </w:r>
    </w:p>
    <w:p>
      <w:pPr>
        <w:spacing w:after="1200"/>
      </w:pPr>
      <w:r>
        <w:rPr>
          <w:rFonts w:ascii="Calibri" w:cs="Calibri" w:eastAsia="Calibri" w:hAnsi="Calibri"/>
          <w:color w:val="5B6573"/>
          <w:sz w:val="26"/>
          <w:szCs w:val="26"/>
        </w:rPr>
        <w:t xml:space="preserve">Proposal to execute the 90-day federated pilot and deliver the evidence for the September and Day-90 decisions</w:t>
      </w:r>
    </w:p>
    <w:p>
      <w:pPr>
        <w:spacing w:after="80"/>
      </w:pPr>
      <w:r>
        <w:rPr>
          <w:rFonts w:ascii="Calibri" w:cs="Calibri" w:eastAsia="Calibri" w:hAnsi="Calibri"/>
          <w:color w:val="444444"/>
          <w:sz w:val="20"/>
          <w:szCs w:val="20"/>
        </w:rPr>
        <w:t xml:space="preserve">Prepared for: Marc Hall (sponsor)</w:t>
      </w:r>
    </w:p>
    <w:p>
      <w:pPr>
        <w:spacing w:after="80"/>
      </w:pPr>
      <w:r>
        <w:rPr>
          <w:rFonts w:ascii="Calibri" w:cs="Calibri" w:eastAsia="Calibri" w:hAnsi="Calibri"/>
          <w:color w:val="444444"/>
          <w:sz w:val="20"/>
          <w:szCs w:val="20"/>
        </w:rPr>
        <w:t xml:space="preserve">Prepared by: Stephan Hardt, Enterprise Strategy, engagement lead</w:t>
      </w:r>
    </w:p>
    <w:p>
      <w:pPr>
        <w:spacing w:after="80"/>
      </w:pPr>
      <w:r>
        <w:rPr>
          <w:rFonts w:ascii="Calibri" w:cs="Calibri" w:eastAsia="Calibri" w:hAnsi="Calibri"/>
          <w:color w:val="444444"/>
          <w:sz w:val="20"/>
          <w:szCs w:val="20"/>
        </w:rPr>
        <w:t xml:space="preserve">Date: August 18, 2026</w:t>
      </w:r>
    </w:p>
    <w:p>
      <w:pPr>
        <w:spacing w:after="80"/>
      </w:pPr>
      <w:r>
        <w:rPr>
          <w:rFonts w:ascii="Calibri" w:cs="Calibri" w:eastAsia="Calibri" w:hAnsi="Calibri"/>
          <w:color w:val="444444"/>
          <w:sz w:val="20"/>
          <w:szCs w:val="20"/>
        </w:rPr>
        <w:t xml:space="preserve">Status: Draft for decision at the August 20 session; effective on Marc’s interim authorization</w:t>
      </w:r>
    </w:p>
    <w:p>
      <w:r>
        <w:br w:type="page"/>
      </w:r>
    </w:p>
    <w:p>
      <w:pPr>
        <w:pStyle w:val="Heading1"/>
        <w:spacing w:after="160" w:before="320"/>
      </w:pPr>
      <w:r>
        <w:rPr>
          <w:rFonts w:ascii="Calibri" w:cs="Calibri" w:eastAsia="Calibri" w:hAnsi="Calibri"/>
          <w:b/>
          <w:bCs/>
          <w:color w:val="1F3B57"/>
          <w:sz w:val="30"/>
          <w:szCs w:val="30"/>
        </w:rPr>
        <w:t xml:space="preserve">Engagement letter</w:t>
      </w:r>
    </w:p>
    <w:p>
      <w:pPr>
        <w:spacing w:after="140" w:line="264"/>
      </w:pPr>
      <w:r>
        <w:rPr>
          <w:rFonts w:ascii="Calibri" w:cs="Calibri" w:eastAsia="Calibri" w:hAnsi="Calibri"/>
          <w:b w:val="false"/>
          <w:bCs w:val="false"/>
          <w:i w:val="false"/>
          <w:iCs w:val="false"/>
          <w:color w:val="222222"/>
          <w:sz w:val="21"/>
          <w:szCs w:val="21"/>
        </w:rPr>
        <w:t xml:space="preserve">Marc,</w:t>
      </w:r>
    </w:p>
    <w:p>
      <w:pPr>
        <w:spacing w:after="140" w:line="264"/>
      </w:pPr>
      <w:r>
        <w:rPr>
          <w:rFonts w:ascii="Calibri" w:cs="Calibri" w:eastAsia="Calibri" w:hAnsi="Calibri"/>
          <w:b w:val="false"/>
          <w:bCs w:val="false"/>
          <w:i w:val="false"/>
          <w:iCs w:val="false"/>
          <w:color w:val="222222"/>
          <w:sz w:val="21"/>
          <w:szCs w:val="21"/>
        </w:rPr>
        <w:t xml:space="preserve">Thursday you are being asked to authorize a 90-day pilot, not to approve a strategy on faith. This proposal is the execution plan behind that authorization: who does what between August 21 and November 18, what evidence gets produced, what it costs in committed time, and exactly what Amber decides in September and you decide on November 18.</w:t>
      </w:r>
    </w:p>
    <w:p>
      <w:pPr>
        <w:spacing w:after="140" w:line="264"/>
      </w:pPr>
      <w:r>
        <w:rPr>
          <w:rFonts w:ascii="Calibri" w:cs="Calibri" w:eastAsia="Calibri" w:hAnsi="Calibri"/>
          <w:b w:val="false"/>
          <w:bCs w:val="false"/>
          <w:i w:val="false"/>
          <w:iCs w:val="false"/>
          <w:color w:val="222222"/>
          <w:sz w:val="21"/>
          <w:szCs w:val="21"/>
        </w:rPr>
        <w:t xml:space="preserve">The pilot is built on one discipline. Every figure the strategy carries today is labeled: the approximately $1.8B OEM market model is directional, the $9.7M quote activity is unreconciled, the 17 actionable IPP items are a stage count and not a pipeline, and the 4,400-to-approximately-880 labor case is adjacent and unverified. The pilot’s job is to convert labels into evidence or retire the claims. Nothing unreconciled reaches leadership or a customer in the meantime.</w:t>
      </w:r>
    </w:p>
    <w:p>
      <w:pPr>
        <w:spacing w:after="140" w:line="264"/>
      </w:pPr>
      <w:r>
        <w:rPr>
          <w:rFonts w:ascii="Calibri" w:cs="Calibri" w:eastAsia="Calibri" w:hAnsi="Calibri"/>
          <w:b w:val="false"/>
          <w:bCs w:val="false"/>
          <w:i w:val="false"/>
          <w:iCs w:val="false"/>
          <w:color w:val="222222"/>
          <w:sz w:val="21"/>
          <w:szCs w:val="21"/>
        </w:rPr>
        <w:t xml:space="preserve">No new headcount is requested. The investment is committed time from named delegates, and the single external spend, third-party research support, comes to leadership only as a scoped and costed ask after the internal reconciliation shows what internal data cannot answer.</w:t>
      </w:r>
    </w:p>
    <w:p>
      <w:pPr>
        <w:spacing w:after="140" w:line="264"/>
      </w:pPr>
      <w:r>
        <w:rPr>
          <w:rFonts w:ascii="Calibri" w:cs="Calibri" w:eastAsia="Calibri" w:hAnsi="Calibri"/>
          <w:b w:val="false"/>
          <w:bCs w:val="false"/>
          <w:i w:val="false"/>
          <w:iCs w:val="false"/>
          <w:color w:val="222222"/>
          <w:sz w:val="21"/>
          <w:szCs w:val="21"/>
        </w:rPr>
        <w:t xml:space="preserve">Stephan</w:t>
      </w:r>
    </w:p>
    <w:p>
      <w:pPr>
        <w:pStyle w:val="Heading1"/>
        <w:spacing w:after="160" w:before="320"/>
      </w:pPr>
      <w:r>
        <w:rPr>
          <w:rFonts w:ascii="Calibri" w:cs="Calibri" w:eastAsia="Calibri" w:hAnsi="Calibri"/>
          <w:b/>
          <w:bCs/>
          <w:color w:val="1F3B57"/>
          <w:sz w:val="30"/>
          <w:szCs w:val="30"/>
        </w:rPr>
        <w:t xml:space="preserve">1. Objectives</w:t>
      </w:r>
    </w:p>
    <w:p>
      <w:pPr>
        <w:pStyle w:val="ListParagraph"/>
        <w:numPr>
          <w:ilvl w:val="0"/>
          <w:numId w:val="2"/>
        </w:numPr>
        <w:spacing w:after="80" w:line="264"/>
      </w:pPr>
      <w:r>
        <w:rPr>
          <w:rFonts w:ascii="Calibri" w:cs="Calibri" w:eastAsia="Calibri" w:hAnsi="Calibri"/>
          <w:b w:val="false"/>
          <w:bCs w:val="false"/>
          <w:i w:val="false"/>
          <w:iCs w:val="false"/>
          <w:color w:val="222222"/>
          <w:sz w:val="21"/>
          <w:szCs w:val="21"/>
        </w:rPr>
        <w:t xml:space="preserve">Establish the signed current-state baseline: accounts, projects, stages, capabilities, routes and constraints across all nine lanes, accepted by the contributing businesses.</w:t>
      </w:r>
    </w:p>
    <w:p>
      <w:pPr>
        <w:pStyle w:val="ListParagraph"/>
        <w:numPr>
          <w:ilvl w:val="0"/>
          <w:numId w:val="2"/>
        </w:numPr>
        <w:spacing w:after="80" w:line="264"/>
      </w:pPr>
      <w:r>
        <w:rPr>
          <w:rFonts w:ascii="Calibri" w:cs="Calibri" w:eastAsia="Calibri" w:hAnsi="Calibri"/>
          <w:b w:val="false"/>
          <w:bCs w:val="false"/>
          <w:i w:val="false"/>
          <w:iCs w:val="false"/>
          <w:color w:val="222222"/>
          <w:sz w:val="21"/>
          <w:szCs w:val="21"/>
        </w:rPr>
        <w:t xml:space="preserve">Qualify 3-5 IPP lighthouse pursuits and 3-5 OEM/modular lighthouse accounts with complete pursuit charters, and test the proposition in at least three external discovery conversations.</w:t>
      </w:r>
    </w:p>
    <w:p>
      <w:pPr>
        <w:pStyle w:val="ListParagraph"/>
        <w:numPr>
          <w:ilvl w:val="0"/>
          <w:numId w:val="2"/>
        </w:numPr>
        <w:spacing w:after="80" w:line="264"/>
      </w:pPr>
      <w:r>
        <w:rPr>
          <w:rFonts w:ascii="Calibri" w:cs="Calibri" w:eastAsia="Calibri" w:hAnsi="Calibri"/>
          <w:b w:val="false"/>
          <w:bCs w:val="false"/>
          <w:i w:val="false"/>
          <w:iCs w:val="false"/>
          <w:color w:val="222222"/>
          <w:sz w:val="21"/>
          <w:szCs w:val="21"/>
        </w:rPr>
        <w:t xml:space="preserve">Reconcile the evidence base: metric dictionary, market figures, quote ledger, target counts and stage taxonomy, with Finance signoff.</w:t>
      </w:r>
    </w:p>
    <w:p>
      <w:pPr>
        <w:pStyle w:val="ListParagraph"/>
        <w:numPr>
          <w:ilvl w:val="0"/>
          <w:numId w:val="2"/>
        </w:numPr>
        <w:spacing w:after="80" w:line="264"/>
      </w:pPr>
      <w:r>
        <w:rPr>
          <w:rFonts w:ascii="Calibri" w:cs="Calibri" w:eastAsia="Calibri" w:hAnsi="Calibri"/>
          <w:b w:val="false"/>
          <w:bCs w:val="false"/>
          <w:i w:val="false"/>
          <w:iCs w:val="false"/>
          <w:color w:val="222222"/>
          <w:sz w:val="21"/>
          <w:szCs w:val="21"/>
        </w:rPr>
        <w:t xml:space="preserve">Close or escalate all nine open governance RIDs and operate the route, credit and escalation rules on live pursuits.</w:t>
      </w:r>
    </w:p>
    <w:p>
      <w:pPr>
        <w:pStyle w:val="ListParagraph"/>
        <w:numPr>
          <w:ilvl w:val="0"/>
          <w:numId w:val="2"/>
        </w:numPr>
        <w:spacing w:after="80" w:line="264"/>
      </w:pPr>
      <w:r>
        <w:rPr>
          <w:rFonts w:ascii="Calibri" w:cs="Calibri" w:eastAsia="Calibri" w:hAnsi="Calibri"/>
          <w:b w:val="false"/>
          <w:bCs w:val="false"/>
          <w:i w:val="false"/>
          <w:iCs w:val="false"/>
          <w:color w:val="222222"/>
          <w:sz w:val="21"/>
          <w:szCs w:val="21"/>
        </w:rPr>
        <w:t xml:space="preserve">Deliver Strategy v0.1 and the leadership package for Amber’s September ratify/modify/stop decision, then the Day-90 evidence for the November 18 scale, pivot, continue or stop review.</w:t>
      </w:r>
    </w:p>
    <w:p>
      <w:pPr>
        <w:pStyle w:val="Heading1"/>
        <w:spacing w:after="160" w:before="320"/>
      </w:pPr>
      <w:r>
        <w:rPr>
          <w:rFonts w:ascii="Calibri" w:cs="Calibri" w:eastAsia="Calibri" w:hAnsi="Calibri"/>
          <w:b/>
          <w:bCs/>
          <w:color w:val="1F3B57"/>
          <w:sz w:val="30"/>
          <w:szCs w:val="30"/>
        </w:rPr>
        <w:t xml:space="preserve">2. Scope of work</w:t>
      </w:r>
    </w:p>
    <w:p>
      <w:pPr>
        <w:spacing w:after="100" w:before="200"/>
      </w:pPr>
      <w:r>
        <w:rPr>
          <w:rFonts w:ascii="Calibri" w:cs="Calibri" w:eastAsia="Calibri" w:hAnsi="Calibri"/>
          <w:b/>
          <w:bCs/>
          <w:color w:val="0F6E84"/>
          <w:sz w:val="20"/>
          <w:szCs w:val="20"/>
        </w:rPr>
        <w:t xml:space="preserve">Exhibit 1. </w:t>
      </w:r>
      <w:r>
        <w:rPr>
          <w:rFonts w:ascii="Calibri" w:cs="Calibri" w:eastAsia="Calibri" w:hAnsi="Calibri"/>
          <w:b/>
          <w:bCs/>
          <w:color w:val="222222"/>
          <w:sz w:val="20"/>
          <w:szCs w:val="20"/>
        </w:rPr>
        <w:t xml:space="preserve">Workstreams, owners and acceptance tests</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2059"/>
        <w:gridCol w:w="1310"/>
        <w:gridCol w:w="4118"/>
        <w:gridCol w:w="1872"/>
      </w:tblGrid>
      <w:tr>
        <w:trPr>
          <w:tblHeader/>
        </w:trPr>
        <w:tc>
          <w:tcPr>
            <w:tcW w:type="dxa" w:w="2059"/>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Workstream</w:t>
            </w:r>
          </w:p>
        </w:tc>
        <w:tc>
          <w:tcPr>
            <w:tcW w:type="dxa" w:w="1310"/>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Window</w:t>
            </w:r>
          </w:p>
        </w:tc>
        <w:tc>
          <w:tcPr>
            <w:tcW w:type="dxa" w:w="4118"/>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Deliverable and acceptance test</w:t>
            </w:r>
          </w:p>
        </w:tc>
        <w:tc>
          <w:tcPr>
            <w:tcW w:type="dxa" w:w="1872"/>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Led by</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Pilot launch and charter</w:t>
            </w:r>
          </w:p>
        </w:tc>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20-21</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Decision register published; one-page charter, participant roster and evidence guardrail note issued; acceptance: every D-item Decided, Modified or Deferred with owner and date</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Marc approves</w:t>
            </w:r>
          </w:p>
        </w:tc>
      </w:tr>
      <w:tr>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Current-state baseline and pipeline truth</w:t>
            </w:r>
          </w:p>
        </w:tc>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21-28</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Enterprise map signed by functional leaders; clean lighthouse shortlists; acceptance: every lane has owner, activity, source, route, proof and explicit gap</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with functional leads</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Evidence and sizing reconciliation</w:t>
            </w:r>
          </w:p>
        </w:tc>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24 - Sept 4</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Metric dictionary, quote ledger, target counts; acceptance: $1.8B, $53M, $9.7M and 30-versus-31 reconciled or labeled directional</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Finance/Strategy lead</w:t>
            </w:r>
          </w:p>
        </w:tc>
      </w:tr>
      <w:tr>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Route, credit and governance</w:t>
            </w:r>
          </w:p>
        </w:tc>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24 - Sept 4</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Approved route principles and escalation SLA; RID-01 to RID-09 decided or escalated with dates</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Marc and affected leaders decide</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Proof and messaging</w:t>
            </w:r>
          </w:p>
        </w:tc>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24 - Sept 4</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Time to Power proof memo: the labor case validated for baseline, scope and contribution, or removed externally</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with Nedra, Alan, Marketing</w:t>
            </w:r>
          </w:p>
        </w:tc>
      </w:tr>
      <w:tr>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Playbooks and customer testing</w:t>
            </w:r>
          </w:p>
        </w:tc>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Aug 31 - Sept 9</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Two immediate-priority playbooks plus conditional repower playbook; at least three documented discovery conversations</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with SMEs, Mike, Aslan</w:t>
            </w:r>
          </w:p>
        </w:tc>
      </w:tr>
      <w:tr>
        <w:tc>
          <w:tcPr>
            <w:tcW w:type="dxa" w:w="2059"/>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Strategy integration and leadership package</w:t>
            </w:r>
          </w:p>
        </w:tc>
        <w:tc>
          <w:tcPr>
            <w:tcW w:type="dxa" w:w="1310"/>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Sept 10-18</w:t>
            </w:r>
          </w:p>
        </w:tc>
        <w:tc>
          <w:tcPr>
            <w:tcW w:type="dxa" w:w="411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Strategy v0.1, readiness review, executive approval request; acceptance: no unsupported number, no unresolved owner without a date, no ambiguous ask</w:t>
            </w:r>
          </w:p>
        </w:tc>
        <w:tc>
          <w:tcPr>
            <w:tcW w:type="dxa" w:w="187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Marc approves the ask</w:t>
            </w:r>
          </w:p>
        </w:tc>
      </w:tr>
      <w:tr>
        <w:tc>
          <w:tcPr>
            <w:tcW w:type="dxa" w:w="2059"/>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September checkpoint and Day-90 review</w:t>
            </w:r>
          </w:p>
        </w:tc>
        <w:tc>
          <w:tcPr>
            <w:tcW w:type="dxa" w:w="1310"/>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Sept 21-30; Nov 18</w:t>
            </w:r>
          </w:p>
        </w:tc>
        <w:tc>
          <w:tcPr>
            <w:tcW w:type="dxa" w:w="411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Amber’s written ratify/modify/stop; Day-90 decision against pre-agreed criteria</w:t>
            </w:r>
          </w:p>
        </w:tc>
        <w:tc>
          <w:tcPr>
            <w:tcW w:type="dxa" w:w="187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Marc sponsors; Amber decides</w:t>
            </w:r>
          </w:p>
        </w:tc>
      </w:tr>
    </w:tbl>
    <w:p>
      <w:pPr>
        <w:pStyle w:val="Heading2"/>
        <w:spacing w:after="120" w:before="240"/>
      </w:pPr>
      <w:r>
        <w:rPr>
          <w:rFonts w:ascii="Calibri" w:cs="Calibri" w:eastAsia="Calibri" w:hAnsi="Calibri"/>
          <w:b/>
          <w:bCs/>
          <w:color w:val="0F6E84"/>
          <w:sz w:val="24"/>
          <w:szCs w:val="24"/>
        </w:rPr>
        <w:t xml:space="preserve">Out of scope during the pilot</w:t>
      </w:r>
    </w:p>
    <w:p>
      <w:pPr>
        <w:spacing w:after="140" w:line="264"/>
      </w:pPr>
      <w:r>
        <w:rPr>
          <w:rFonts w:ascii="Calibri" w:cs="Calibri" w:eastAsia="Calibri" w:hAnsi="Calibri"/>
          <w:b w:val="false"/>
          <w:bCs w:val="false"/>
          <w:i w:val="false"/>
          <w:iCs w:val="false"/>
          <w:color w:val="222222"/>
          <w:sz w:val="21"/>
          <w:szCs w:val="21"/>
        </w:rPr>
        <w:t xml:space="preserve">Permanent organization design and reporting lines, P&amp;L transfer, external TAM study before the reconciliation defines its questions, full nuclear or Data Center strategies, five-year revenue commitments, branding and slide design, and expansion beyond the selected lighthouse pursuits. Each carries an owner and return gate in the open-questions register.</w:t>
      </w:r>
    </w:p>
    <w:p>
      <w:r>
        <w:br w:type="page"/>
      </w:r>
    </w:p>
    <w:p>
      <w:pPr>
        <w:pStyle w:val="Heading1"/>
        <w:spacing w:after="160" w:before="320"/>
      </w:pPr>
      <w:r>
        <w:rPr>
          <w:rFonts w:ascii="Calibri" w:cs="Calibri" w:eastAsia="Calibri" w:hAnsi="Calibri"/>
          <w:b/>
          <w:bCs/>
          <w:color w:val="1F3B57"/>
          <w:sz w:val="30"/>
          <w:szCs w:val="30"/>
        </w:rPr>
        <w:t xml:space="preserve">3. Team and governance</w:t>
      </w:r>
    </w:p>
    <w:p>
      <w:pPr>
        <w:spacing w:after="100" w:before="200"/>
      </w:pPr>
      <w:r>
        <w:rPr>
          <w:rFonts w:ascii="Calibri" w:cs="Calibri" w:eastAsia="Calibri" w:hAnsi="Calibri"/>
          <w:b/>
          <w:bCs/>
          <w:color w:val="0F6E84"/>
          <w:sz w:val="20"/>
          <w:szCs w:val="20"/>
        </w:rPr>
        <w:t xml:space="preserve">Exhibit 2. </w:t>
      </w:r>
      <w:r>
        <w:rPr>
          <w:rFonts w:ascii="Calibri" w:cs="Calibri" w:eastAsia="Calibri" w:hAnsi="Calibri"/>
          <w:b/>
          <w:bCs/>
          <w:color w:val="222222"/>
          <w:sz w:val="20"/>
          <w:szCs w:val="20"/>
        </w:rPr>
        <w:t xml:space="preserve">Committed roles (named delegates confirmed by Marc, August 21)</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2434"/>
        <w:gridCol w:w="3744"/>
        <w:gridCol w:w="3182"/>
      </w:tblGrid>
      <w:tr>
        <w:trPr>
          <w:tblHeader/>
        </w:trPr>
        <w:tc>
          <w:tcPr>
            <w:tcW w:type="dxa" w:w="2434"/>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Role</w:t>
            </w:r>
          </w:p>
        </w:tc>
        <w:tc>
          <w:tcPr>
            <w:tcW w:type="dxa" w:w="3744"/>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Who</w:t>
            </w:r>
          </w:p>
        </w:tc>
        <w:tc>
          <w:tcPr>
            <w:tcW w:type="dxa" w:w="3182"/>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Minimum commitment</w:t>
            </w:r>
          </w:p>
        </w:tc>
      </w:tr>
      <w:tr>
        <w:tc>
          <w:tcPr>
            <w:tcW w:type="dxa" w:w="243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Sponsor</w:t>
            </w:r>
          </w:p>
        </w:tc>
        <w:tc>
          <w:tcPr>
            <w:tcW w:type="dxa" w:w="374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Marc Hall</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Weekly 45-minute decision window; escalations within the proposed 48-hour target; leadership alignment</w:t>
            </w:r>
          </w:p>
        </w:tc>
      </w:tr>
      <w:tr>
        <w:tc>
          <w:tcPr>
            <w:tcW w:type="dxa" w:w="243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Engagement lead</w:t>
            </w:r>
          </w:p>
        </w:tc>
        <w:tc>
          <w:tcPr>
            <w:tcW w:type="dxa" w:w="374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Stephan Hardt</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Approximately 40% of time for the first 30 days; integration, orchestration, evidence discipline</w:t>
            </w:r>
          </w:p>
        </w:tc>
      </w:tr>
      <w:tr>
        <w:tc>
          <w:tcPr>
            <w:tcW w:type="dxa" w:w="243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Business delegates</w:t>
            </w:r>
          </w:p>
        </w:tc>
        <w:tc>
          <w:tcPr>
            <w:tcW w:type="dxa" w:w="374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Utility, Renewables, Data Center, Industrial/EPC sales, OEM (Mike Pitello); named individuals TBD Aug 21</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2-hour baseline workshop plus 45 minutes weekly, approximately 6-8 hours each</w:t>
            </w:r>
          </w:p>
        </w:tc>
      </w:tr>
      <w:tr>
        <w:tc>
          <w:tcPr>
            <w:tcW w:type="dxa" w:w="243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Product/application engineering</w:t>
            </w:r>
          </w:p>
        </w:tc>
        <w:tc>
          <w:tcPr>
            <w:tcW w:type="dxa" w:w="374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Named delegate TBD</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Approximately 4 hours weekly: fit, qualification, technical risk, approvals</w:t>
            </w:r>
          </w:p>
        </w:tc>
      </w:tr>
      <w:tr>
        <w:tc>
          <w:tcPr>
            <w:tcW w:type="dxa" w:w="243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Solutions/prefab, manufacturing, operations, supply chain</w:t>
            </w:r>
          </w:p>
        </w:tc>
        <w:tc>
          <w:tcPr>
            <w:tcW w:type="dxa" w:w="374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Named delegates TBD</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2-hour baseline plus approximately 3 hours weekly: deliverability, capacity, warranty boundaries</w:t>
            </w:r>
          </w:p>
        </w:tc>
      </w:tr>
      <w:tr>
        <w:tc>
          <w:tcPr>
            <w:tcW w:type="dxa" w:w="243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Finance/Strategy</w:t>
            </w:r>
          </w:p>
        </w:tc>
        <w:tc>
          <w:tcPr>
            <w:tcW w:type="dxa" w:w="374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Named lead TBD</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Approximately 8-12 hours in weeks 2-3: metric definitions, reconciliation signoff</w:t>
            </w:r>
          </w:p>
        </w:tc>
      </w:tr>
      <w:tr>
        <w:tc>
          <w:tcPr>
            <w:tcW w:type="dxa" w:w="243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Sales Operations/CRM</w:t>
            </w:r>
          </w:p>
        </w:tc>
        <w:tc>
          <w:tcPr>
            <w:tcW w:type="dxa" w:w="374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Named owner TBD</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Approximately 4 hours weekly: taxonomy, quote reconciliation, controlled data view</w:t>
            </w:r>
          </w:p>
        </w:tc>
      </w:tr>
      <w:tr>
        <w:tc>
          <w:tcPr>
            <w:tcW w:type="dxa" w:w="243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Marketing</w:t>
            </w:r>
          </w:p>
        </w:tc>
        <w:tc>
          <w:tcPr>
            <w:tcW w:type="dxa" w:w="374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With Alan Colorito</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Approximately 2-3 hours weekly: claim control and proof approval</w:t>
            </w:r>
          </w:p>
        </w:tc>
      </w:tr>
      <w:tr>
        <w:tc>
          <w:tcPr>
            <w:tcW w:type="dxa" w:w="243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Channel leadership and Legal</w:t>
            </w:r>
          </w:p>
        </w:tc>
        <w:tc>
          <w:tcPr>
            <w:tcW w:type="dxa" w:w="3744"/>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Named delegates TBD</w:t>
            </w:r>
          </w:p>
        </w:tc>
        <w:tc>
          <w:tcPr>
            <w:tcW w:type="dxa" w:w="3182"/>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Approximately 2 hours weekly plus conflict cases; Legal as needed</w:t>
            </w:r>
          </w:p>
        </w:tc>
      </w:tr>
      <w:tr>
        <w:tc>
          <w:tcPr>
            <w:tcW w:type="dxa" w:w="243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External support</w:t>
            </w:r>
          </w:p>
        </w:tc>
        <w:tc>
          <w:tcPr>
            <w:tcW w:type="dxa" w:w="3744"/>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Aslan advisor (OEM preparation); research provider only on approval of the scoped ask</w:t>
            </w:r>
          </w:p>
        </w:tc>
        <w:tc>
          <w:tcPr>
            <w:tcW w:type="dxa" w:w="3182"/>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As contracted</w:t>
            </w:r>
          </w:p>
        </w:tc>
      </w:tr>
    </w:tbl>
    <w:p>
      <w:pPr>
        <w:spacing w:after="140" w:line="264"/>
      </w:pPr>
      <w:r>
        <w:rPr>
          <w:rFonts w:ascii="Calibri" w:cs="Calibri" w:eastAsia="Calibri" w:hAnsi="Calibri"/>
          <w:b w:val="false"/>
          <w:bCs w:val="false"/>
          <w:i w:val="false"/>
          <w:iCs w:val="false"/>
          <w:color w:val="222222"/>
          <w:sz w:val="21"/>
          <w:szCs w:val="21"/>
        </w:rPr>
        <w:t xml:space="preserve">Decision rights follow the federated charter: delegates decide inside their functions, cross-business questions go through the pursuit protocol, unresolved conflicts go to Marc, and structural questions go to the leadership checkpoint. Nothing in the pilot changes account ownership, pricing authority, channel agreements or revenue booking.</w:t>
      </w:r>
    </w:p>
    <w:p>
      <w:pPr>
        <w:pStyle w:val="Heading1"/>
        <w:spacing w:after="160" w:before="320"/>
      </w:pPr>
      <w:r>
        <w:rPr>
          <w:rFonts w:ascii="Calibri" w:cs="Calibri" w:eastAsia="Calibri" w:hAnsi="Calibri"/>
          <w:b/>
          <w:bCs/>
          <w:color w:val="1F3B57"/>
          <w:sz w:val="30"/>
          <w:szCs w:val="30"/>
        </w:rPr>
        <w:t xml:space="preserve">4. Investment</w:t>
      </w:r>
    </w:p>
    <w:p>
      <w:pPr>
        <w:spacing w:after="140" w:line="264"/>
      </w:pPr>
      <w:r>
        <w:rPr>
          <w:rFonts w:ascii="Calibri" w:cs="Calibri" w:eastAsia="Calibri" w:hAnsi="Calibri"/>
          <w:b w:val="false"/>
          <w:bCs w:val="false"/>
          <w:i w:val="false"/>
          <w:iCs w:val="false"/>
          <w:color w:val="222222"/>
          <w:sz w:val="21"/>
          <w:szCs w:val="21"/>
        </w:rPr>
        <w:t xml:space="preserve">Internal: the committed time above, secured by Marc as sponsor on August 21. No new headcount, systems or budget lines are requested for the pilot itself.</w:t>
      </w:r>
    </w:p>
    <w:p>
      <w:pPr>
        <w:spacing w:after="140" w:line="264"/>
      </w:pPr>
      <w:r>
        <w:rPr>
          <w:rFonts w:ascii="Calibri" w:cs="Calibri" w:eastAsia="Calibri" w:hAnsi="Calibri"/>
          <w:b w:val="false"/>
          <w:bCs w:val="false"/>
          <w:i w:val="false"/>
          <w:iCs w:val="false"/>
          <w:color w:val="222222"/>
          <w:sz w:val="21"/>
          <w:szCs w:val="21"/>
        </w:rPr>
        <w:t xml:space="preserve">External: continuation of the existing Aslan advisory support for OEM preparation, and a possible third-party research engagement whose scope, questions and cost are defined by the reconciliation workstream and brought to the September checkpoint as a decision, not assumed here. Committing a research budget before the metric dictionary exists would repeat the discipline failure the pilot is designed to end.</w:t>
      </w:r>
    </w:p>
    <w:p>
      <w:pPr>
        <w:pStyle w:val="Heading1"/>
        <w:spacing w:after="160" w:before="320"/>
      </w:pPr>
      <w:r>
        <w:rPr>
          <w:rFonts w:ascii="Calibri" w:cs="Calibri" w:eastAsia="Calibri" w:hAnsi="Calibri"/>
          <w:b/>
          <w:bCs/>
          <w:color w:val="1F3B57"/>
          <w:sz w:val="30"/>
          <w:szCs w:val="30"/>
        </w:rPr>
        <w:t xml:space="preserve">5. What success looks like</w:t>
      </w:r>
    </w:p>
    <w:p>
      <w:pPr>
        <w:spacing w:after="100" w:before="200"/>
      </w:pPr>
      <w:r>
        <w:rPr>
          <w:rFonts w:ascii="Calibri" w:cs="Calibri" w:eastAsia="Calibri" w:hAnsi="Calibri"/>
          <w:b/>
          <w:bCs/>
          <w:color w:val="0F6E84"/>
          <w:sz w:val="20"/>
          <w:szCs w:val="20"/>
        </w:rPr>
        <w:t xml:space="preserve">Exhibit 3. </w:t>
      </w:r>
      <w:r>
        <w:rPr>
          <w:rFonts w:ascii="Calibri" w:cs="Calibri" w:eastAsia="Calibri" w:hAnsi="Calibri"/>
          <w:b/>
          <w:bCs/>
          <w:color w:val="222222"/>
          <w:sz w:val="20"/>
          <w:szCs w:val="20"/>
        </w:rPr>
        <w:t xml:space="preserve">The two decision gates</w:t>
      </w:r>
    </w:p>
    <w:tbl>
      <w:tblPr>
        <w:tblW w:type="dxa" w:w="9360"/>
        <w:tblBorders>
          <w:top w:val="single" w:color="C9D2DB" w:sz="4"/>
          <w:left w:val="single" w:color="C9D2DB" w:sz="4"/>
          <w:bottom w:val="single" w:color="C9D2DB" w:sz="4"/>
          <w:right w:val="single" w:color="C9D2DB" w:sz="4"/>
          <w:insideH w:val="single" w:color="C9D2DB" w:sz="4"/>
          <w:insideV w:val="single" w:color="C9D2DB" w:sz="4"/>
        </w:tblBorders>
      </w:tblPr>
      <w:tblGrid>
        <w:gridCol w:w="2246"/>
        <w:gridCol w:w="4306"/>
        <w:gridCol w:w="2808"/>
      </w:tblGrid>
      <w:tr>
        <w:trPr>
          <w:tblHeader/>
        </w:trPr>
        <w:tc>
          <w:tcPr>
            <w:tcW w:type="dxa" w:w="2246"/>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Gate</w:t>
            </w:r>
          </w:p>
        </w:tc>
        <w:tc>
          <w:tcPr>
            <w:tcW w:type="dxa" w:w="4306"/>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Evidence required</w:t>
            </w:r>
          </w:p>
        </w:tc>
        <w:tc>
          <w:tcPr>
            <w:tcW w:type="dxa" w:w="2808"/>
            <w:shd w:fill="1F3B57" w:val="clear"/>
            <w:tcMar>
              <w:top w:type="dxa" w:w="60"/>
              <w:left w:type="dxa" w:w="90"/>
              <w:bottom w:type="dxa" w:w="60"/>
              <w:right w:type="dxa" w:w="90"/>
            </w:tcMar>
            <w:vAlign w:val="center"/>
          </w:tcPr>
          <w:p>
            <w:pPr>
              <w:spacing w:after="40" w:line="240"/>
            </w:pPr>
            <w:r>
              <w:rPr>
                <w:rFonts w:ascii="Calibri" w:cs="Calibri" w:eastAsia="Calibri" w:hAnsi="Calibri"/>
                <w:b/>
                <w:bCs/>
                <w:color w:val="FFFFFF"/>
                <w:sz w:val="18"/>
                <w:szCs w:val="18"/>
              </w:rPr>
              <w:t xml:space="preserve">Decision</w:t>
            </w:r>
          </w:p>
        </w:tc>
      </w:tr>
      <w:tr>
        <w:tc>
          <w:tcPr>
            <w:tcW w:type="dxa" w:w="2246"/>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September checkpoint (Amber)</w:t>
            </w:r>
          </w:p>
        </w:tc>
        <w:tc>
          <w:tcPr>
            <w:tcW w:type="dxa" w:w="4306"/>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Signed baseline; chartered lighthouse set; reconciled or explicitly unresolved figures; operating route rules; strategy v0.1 with a precise ask</w:t>
            </w:r>
          </w:p>
        </w:tc>
        <w:tc>
          <w:tcPr>
            <w:tcW w:type="dxa" w:w="2808"/>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Ratify, modify or stop the pilot model, scope, priorities, decision rights, resources and scorecard</w:t>
            </w:r>
          </w:p>
        </w:tc>
      </w:tr>
      <w:tr>
        <w:tc>
          <w:tcPr>
            <w:tcW w:type="dxa" w:w="2246"/>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Day-90 review, November 18</w:t>
            </w:r>
          </w:p>
        </w:tc>
        <w:tc>
          <w:tcPr>
            <w:tcW w:type="dxa" w:w="4306"/>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At least two external customers validating problem and role; at least one pursuit at an evidence-backed commercial gate; routes resolved without account damage; sustained functional support</w:t>
            </w:r>
          </w:p>
        </w:tc>
        <w:tc>
          <w:tcPr>
            <w:tcW w:type="dxa" w:w="2808"/>
            <w:shd w:fill="EDF1F5" w:val="clear"/>
            <w:tcMar>
              <w:top w:type="dxa" w:w="50"/>
              <w:left w:type="dxa" w:w="90"/>
              <w:bottom w:type="dxa" w:w="50"/>
              <w:right w:type="dxa" w:w="90"/>
            </w:tcMar>
          </w:tcPr>
          <w:p>
            <w:pPr>
              <w:spacing w:after="40" w:line="240"/>
            </w:pPr>
            <w:r>
              <w:rPr>
                <w:rFonts w:ascii="Calibri" w:cs="Calibri" w:eastAsia="Calibri" w:hAnsi="Calibri"/>
                <w:b w:val="false"/>
                <w:bCs w:val="false"/>
                <w:color w:val="222222"/>
                <w:sz w:val="18"/>
                <w:szCs w:val="18"/>
              </w:rPr>
              <w:t xml:space="preserve">Scale, continue with narrow changes, pivot, or stop and return activity to the businesses</w:t>
            </w:r>
          </w:p>
        </w:tc>
      </w:tr>
    </w:tbl>
    <w:p>
      <w:pPr>
        <w:spacing w:after="140" w:line="264"/>
      </w:pPr>
      <w:r>
        <w:rPr>
          <w:rFonts w:ascii="Calibri" w:cs="Calibri" w:eastAsia="Calibri" w:hAnsi="Calibri"/>
          <w:b w:val="false"/>
          <w:bCs w:val="false"/>
          <w:i w:val="false"/>
          <w:iCs w:val="false"/>
          <w:color w:val="222222"/>
          <w:sz w:val="21"/>
          <w:szCs w:val="21"/>
        </w:rPr>
        <w:t xml:space="preserve">A standalone vertical is on the table only if the pilot proves both real commercial evidence and a persistent inability to make cross-business decisions under the federated charter. Structure follows evidence.</w:t>
      </w:r>
    </w:p>
    <w:p>
      <w:pPr>
        <w:spacing w:after="200"/>
      </w:pPr>
    </w:p>
    <w:p>
      <w:pPr>
        <w:spacing w:after="140" w:line="264"/>
      </w:pPr>
      <w:r>
        <w:rPr>
          <w:rFonts w:ascii="Calibri" w:cs="Calibri" w:eastAsia="Calibri" w:hAnsi="Calibri"/>
          <w:b w:val="false"/>
          <w:bCs w:val="false"/>
          <w:i/>
          <w:iCs/>
          <w:color w:val="222222"/>
          <w:sz w:val="21"/>
          <w:szCs w:val="21"/>
        </w:rPr>
        <w:t xml:space="preserve">Effective on Marc’s interim authorization Thursday. The decision log publishes the same day, the charter and guardrail note issue August 21, and the baseline data request reaches every named delegate Friday morning.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573"/>
        <w:sz w:val="15"/>
        <w:szCs w:val="15"/>
      </w:rPr>
      <w:t xml:space="preserve">Prepared for the Southwire Power Generation working session | August 2026</w:t>
    </w:r>
    <w:r>
      <w:rPr>
        <w:rFonts w:ascii="Calibri" w:cs="Calibri" w:eastAsia="Calibri" w:hAnsi="Calibri"/>
        <w:color w:val="5B6573"/>
        <w:sz w:val="15"/>
        <w:szCs w:val="15"/>
      </w:rPr>
      <w:t xml:space="preserve">	Page </w:t>
    </w:r>
    <w:r>
      <w:rPr>
        <w:rFonts w:ascii="Calibri" w:cs="Calibri" w:eastAsia="Calibri" w:hAnsi="Calibri"/>
        <w:color w:val="5B65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60"/>
    </w:pPr>
    <w:r>
      <w:rPr>
        <w:rFonts w:ascii="Calibri" w:cs="Calibri" w:eastAsia="Calibri" w:hAnsi="Calibri"/>
        <w:b/>
        <w:bCs/>
        <w:color w:val="5B6573"/>
        <w:sz w:val="15"/>
        <w:szCs w:val="15"/>
      </w:rPr>
      <w:t xml:space="preserve">SOUTHWIRE | POWERGEN PILOT | ENGAGEMENT PROPOSAL</w:t>
    </w:r>
    <w:r>
      <w:rPr>
        <w:rFonts w:ascii="Calibri" w:cs="Calibri" w:eastAsia="Calibri" w:hAnsi="Calibri"/>
        <w:color w:val="5B6573"/>
        <w:sz w:val="15"/>
        <w:szCs w:val="15"/>
      </w:rPr>
      <w:t xml:space="preserve">	CONFIDENTIAL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2026-08-18T02:40:05.875Z</dcterms:created>
  <dcterms:modified xsi:type="dcterms:W3CDTF">2026-08-18T02:40:05.875Z</dcterms:modified>
</cp:coreProperties>
</file>

<file path=docProps/custom.xml><?xml version="1.0" encoding="utf-8"?>
<Properties xmlns="http://schemas.openxmlformats.org/officeDocument/2006/custom-properties" xmlns:vt="http://schemas.openxmlformats.org/officeDocument/2006/docPropsVTypes"/>
</file>