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Seamcraft website improvement plan</w:t>
      </w:r>
    </w:p>
    <w:p>
      <w:pPr>
        <w:spacing w:after="140" w:line="300"/>
      </w:pPr>
      <w:r>
        <w:rPr>
          <w:color w:val="5F5F5B"/>
          <w:sz w:val="24"/>
          <w:szCs w:val="24"/>
        </w:rPr>
        <w:t xml:space="preserve">What has already changed on seamcraft.in, what should change next, and what we need from Ikyem Sports to do it. Changes are ordered by how much each will matter to a club, academy or shop deciding whether to order.</w:t>
      </w:r>
    </w:p>
    <w:p>
      <w:pPr>
        <w:spacing w:after="140" w:line="300"/>
      </w:pPr>
      <w:r>
        <w:rPr>
          <w:color w:val="5F5F5B"/>
          <w:sz w:val="19"/>
          <w:szCs w:val="19"/>
        </w:rPr>
        <w:t xml:space="preserve">Prepared September 2026. Work happens on the dev branch and is checked on ikyem-dev.vercel.app before going live.</w:t>
      </w:r>
    </w:p>
    <w:p>
      <w:pPr>
        <w:pStyle w:val="Heading1"/>
      </w:pPr>
      <w:r>
        <w:t xml:space="preserve">Already done</w:t>
      </w:r>
    </w:p>
    <w:p>
      <w:pPr>
        <w:pStyle w:val="ListParagraph"/>
        <w:numPr>
          <w:ilvl w:val="0"/>
          <w:numId w:val="2"/>
        </w:numPr>
        <w:spacing w:after="80" w:line="290"/>
      </w:pPr>
      <w:r>
        <w:t xml:space="preserve">Separate dev environment: pushes to the dev branch deploy to a private preview (ikyem-dev.vercel.app, Vercel login required). Only merges to main reach www.seamcraft.in.</w:t>
      </w:r>
    </w:p>
    <w:p>
      <w:pPr>
        <w:pStyle w:val="ListParagraph"/>
        <w:numPr>
          <w:ilvl w:val="0"/>
          <w:numId w:val="2"/>
        </w:numPr>
        <w:spacing w:after="80" w:line="290"/>
      </w:pPr>
      <w:r>
        <w:t xml:space="preserve">Visual redesign: new palette (chalk white, cherry red, dark leather), Archivo condensed typography, and cleaner ruled layouts instead of boxed cards.</w:t>
      </w:r>
    </w:p>
    <w:p>
      <w:pPr>
        <w:pStyle w:val="ListParagraph"/>
        <w:numPr>
          <w:ilvl w:val="0"/>
          <w:numId w:val="2"/>
        </w:numPr>
        <w:spacing w:after="80" w:line="290"/>
      </w:pPr>
      <w:r>
        <w:t xml:space="preserve">Motion animations: the hero ball rolls in and its seam stitches itself; the construction cutaway opens as you scroll and highlights each layer; a drag slider compares a clean seam with a painted-over one; the range picker recolours and rolls the ball.</w:t>
      </w:r>
    </w:p>
    <w:p>
      <w:pPr>
        <w:pStyle w:val="ListParagraph"/>
        <w:numPr>
          <w:ilvl w:val="0"/>
          <w:numId w:val="2"/>
        </w:numPr>
        <w:spacing w:after="80" w:line="290"/>
      </w:pPr>
      <w:r>
        <w:t xml:space="preserve">Accessibility and resilience: works with reduced-motion settings, the slider and picker work from the keyboard, and the page still displays fully if the animation library fails to load.</w:t>
      </w:r>
    </w:p>
    <w:p>
      <w:pPr>
        <w:pStyle w:val="ListParagraph"/>
        <w:numPr>
          <w:ilvl w:val="0"/>
          <w:numId w:val="2"/>
        </w:numPr>
        <w:spacing w:after="80" w:line="290"/>
      </w:pPr>
      <w:r>
        <w:t xml:space="preserve">Domain fix: the placeholder seamcraft.example replaced with https://www.seamcraft.in in the canonical tag, social preview tags, structured data, robots.txt and sitemap.xml.</w:t>
      </w:r>
    </w:p>
    <w:p>
      <w:pPr>
        <w:pStyle w:val="Heading1"/>
      </w:pPr>
      <w:r>
        <w:t xml:space="preserve">Next changes</w:t>
      </w:r>
    </w:p>
    <w:p>
      <w:pPr>
        <w:pStyle w:val="Heading2"/>
      </w:pPr>
      <w:r>
        <w:t xml:space="preserve">1. Working trade enquiry section</w:t>
      </w:r>
      <w:r>
        <w:rPr>
          <w:b/>
          <w:bCs/>
          <w:color w:val="B0142B"/>
          <w:sz w:val="20"/>
          <w:szCs w:val="20"/>
        </w:rPr>
        <w:t xml:space="preserve">   Highest priority</w:t>
      </w:r>
    </w:p>
    <w:p>
      <w:pPr>
        <w:spacing w:after="140" w:line="300"/>
      </w:pPr>
      <w:r>
        <w:t xml:space="preserve">Every call to action on the site ("Enquire", "Trade enquiries", "Start a trade enquiry") currently leads nowhere, and there is no phone number, email or address anywhere on the page. Producing enquiries is the main thing the site exists to do, so this comes first.</w:t>
      </w:r>
    </w:p>
    <w:p>
      <w:pPr>
        <w:spacing w:after="140" w:line="300"/>
      </w:pPr>
      <w:r>
        <w:t xml:space="preserve">Replace the red band at the bottom with a proper enquiry section: a short form asking for name, club or shop name, format played, approximate quantity and a message, alongside direct WhatsApp and email options. Many buyers in India will prefer WhatsApp, so a button that opens a chat with a pre-filled message is likely to work better than the form. The form can run on Vercel without a separate backend service. Add the contact details to the footer as well.</w:t>
      </w:r>
    </w:p>
    <w:p>
      <w:pPr>
        <w:pBdr>
          <w:left w:val="single" w:color="D9D9D4" w:sz="12" w:space="10"/>
        </w:pBdr>
        <w:spacing w:after="200" w:line="300"/>
        <w:ind w:left="280"/>
      </w:pPr>
      <w:r>
        <w:rPr>
          <w:b/>
          <w:bCs/>
        </w:rPr>
        <w:t xml:space="preserve">Needed from Ikyem: </w:t>
      </w:r>
      <w:r>
        <w:rPr>
          <w:color w:val="5F5F5B"/>
        </w:rPr>
        <w:t xml:space="preserve">the WhatsApp number and email address enquiries should go to, and a business address if it should be public.</w:t>
      </w:r>
    </w:p>
    <w:p>
      <w:pPr>
        <w:pStyle w:val="Heading2"/>
      </w:pPr>
      <w:r>
        <w:t xml:space="preserve">2. Mobile navigation menu</w:t>
      </w:r>
      <w:r>
        <w:rPr>
          <w:b/>
          <w:bCs/>
          <w:color w:val="B0142B"/>
          <w:sz w:val="20"/>
          <w:szCs w:val="20"/>
        </w:rPr>
        <w:t xml:space="preserve">   Highest priority</w:t>
      </w:r>
    </w:p>
    <w:p>
      <w:pPr>
        <w:spacing w:after="140" w:line="300"/>
      </w:pPr>
      <w:r>
        <w:t xml:space="preserve">Below roughly 920 pixels wide, the section links in the header are hidden and nothing replaces them. Mobile visitors, likely the majority, can only scroll or tap "Enquire". Add a menu button that opens a full-screen panel with the section links and the enquiry action. This needs nothing from Ikyem and can be built immediately.</w:t>
      </w:r>
    </w:p>
    <w:p>
      <w:pPr>
        <w:pStyle w:val="Heading2"/>
      </w:pPr>
      <w:r>
        <w:t xml:space="preserve">3. Real photography</w:t>
      </w:r>
      <w:r>
        <w:rPr>
          <w:b/>
          <w:bCs/>
          <w:color w:val="5F5F5B"/>
          <w:sz w:val="20"/>
          <w:szCs w:val="20"/>
        </w:rPr>
        <w:t xml:space="preserve">   High impact</w:t>
      </w:r>
    </w:p>
    <w:p>
      <w:pPr>
        <w:spacing w:after="140" w:line="300"/>
      </w:pPr>
      <w:r>
        <w:t xml:space="preserve">Every ball on the site is a flat illustration. For a physical, tactile product, buyers want to see the real thing: the leather grain, the stitching up close, and above all the moulded cups, which are the main selling point but are currently shown only as a drawing. This is the largest single improvement to how credible and premium the site feels.</w:t>
      </w:r>
    </w:p>
    <w:p>
      <w:pPr>
        <w:spacing w:after="140" w:line="300"/>
      </w:pPr>
      <w:r>
        <w:t xml:space="preserve">The redesign is already structured to take photos. A real ball would replace the hero illustration, a halved ball would replace the cutaway drawing with the layers labelled on top, and macro shots would replace the seam comparison drawings. Well-lit phone photos against a plain background are enough; this does not need a professional shoot to be worthwhile.</w:t>
      </w:r>
    </w:p>
    <w:p>
      <w:pPr>
        <w:pBdr>
          <w:left w:val="single" w:color="D9D9D4" w:sz="12" w:space="10"/>
        </w:pBdr>
        <w:spacing w:after="200" w:line="300"/>
        <w:ind w:left="280"/>
      </w:pPr>
      <w:r>
        <w:rPr>
          <w:b/>
          <w:bCs/>
        </w:rPr>
        <w:t xml:space="preserve">Needed from Ikyem: </w:t>
      </w:r>
      <w:r>
        <w:rPr>
          <w:color w:val="5F5F5B"/>
        </w:rPr>
        <w:t xml:space="preserve">a ball of each finish photographed from a few angles on a plain background; close-ups of the seam; a ball cut in half showing the cork, cups and leather; ideally a couple of well-used balls to show how they wear, and one competitor ball with paint over the stitching for the comparison.</w:t>
      </w:r>
    </w:p>
    <w:p>
      <w:pPr>
        <w:pStyle w:val="Heading2"/>
      </w:pPr>
      <w:r>
        <w:t xml:space="preserve">4. Specifications in the range section</w:t>
      </w:r>
      <w:r>
        <w:rPr>
          <w:b/>
          <w:bCs/>
          <w:color w:val="5F5F5B"/>
          <w:sz w:val="20"/>
          <w:szCs w:val="20"/>
        </w:rPr>
        <w:t xml:space="preserve">   High impact</w:t>
      </w:r>
    </w:p>
    <w:p>
      <w:pPr>
        <w:spacing w:after="140" w:line="300"/>
      </w:pPr>
      <w:r>
        <w:t xml:space="preserve">Each finish currently has one sentence of description. Buyers comparing suppliers need specifics: weight (men's, women's and junior sizes), which level of cricket each ball is meant for, match or practice grade, roughly how many overs it holds up for, and a price band or minimum order quantity. Add a compact spec block to each option in the picker so that choosing a finish actually tells the buyer something.</w:t>
      </w:r>
    </w:p>
    <w:p>
      <w:pPr>
        <w:pBdr>
          <w:left w:val="single" w:color="D9D9D4" w:sz="12" w:space="10"/>
        </w:pBdr>
        <w:spacing w:after="200" w:line="300"/>
        <w:ind w:left="280"/>
      </w:pPr>
      <w:r>
        <w:rPr>
          <w:b/>
          <w:bCs/>
        </w:rPr>
        <w:t xml:space="preserve">Needed from Ikyem: </w:t>
      </w:r>
      <w:r>
        <w:rPr>
          <w:color w:val="5F5F5B"/>
        </w:rPr>
        <w:t xml:space="preserve">the real product list: which balls are actually made, in which sizes and weights, their intended grade, and whether prices or minimum orders can be shown publicly.</w:t>
      </w:r>
    </w:p>
    <w:p>
      <w:pPr>
        <w:pStyle w:val="Heading2"/>
      </w:pPr>
      <w:r>
        <w:t xml:space="preserve">5. A "who we are" section and proof</w:t>
      </w:r>
      <w:r>
        <w:rPr>
          <w:b/>
          <w:bCs/>
          <w:color w:val="5F5F5B"/>
          <w:sz w:val="20"/>
          <w:szCs w:val="20"/>
        </w:rPr>
        <w:t xml:space="preserve">   Medium impact</w:t>
      </w:r>
    </w:p>
    <w:p>
      <w:pPr>
        <w:spacing w:after="140" w:line="300"/>
      </w:pPr>
      <w:r>
        <w:t xml:space="preserve">The site makes strong claims, for example that the cork comes from a supplier to established brands, but says nothing about who makes the balls, where, or who already uses them. A short section on the workshop, how long Ikyem has been making balls, and one or two clubs or academies that use them (with a short quote if possible) would make those claims believable.</w:t>
      </w:r>
    </w:p>
    <w:p>
      <w:pPr>
        <w:pBdr>
          <w:left w:val="single" w:color="D9D9D4" w:sz="12" w:space="10"/>
        </w:pBdr>
        <w:spacing w:after="200" w:line="300"/>
        <w:ind w:left="280"/>
      </w:pPr>
      <w:r>
        <w:rPr>
          <w:b/>
          <w:bCs/>
        </w:rPr>
        <w:t xml:space="preserve">Needed from Ikyem: </w:t>
      </w:r>
      <w:r>
        <w:rPr>
          <w:color w:val="5F5F5B"/>
        </w:rPr>
        <w:t xml:space="preserve">a few lines of company history, where manufacturing happens, a photo of the workshop or people at work, and permission to name any clubs or academies as customers.</w:t>
      </w:r>
    </w:p>
    <w:p>
      <w:pPr>
        <w:pStyle w:val="Heading2"/>
      </w:pPr>
      <w:r>
        <w:t xml:space="preserve">6. New share image and favicon</w:t>
      </w:r>
      <w:r>
        <w:rPr>
          <w:b/>
          <w:bCs/>
          <w:color w:val="5F5F5B"/>
          <w:sz w:val="20"/>
          <w:szCs w:val="20"/>
        </w:rPr>
        <w:t xml:space="preserve">   Quick fix</w:t>
      </w:r>
    </w:p>
    <w:p>
      <w:pPr>
        <w:spacing w:after="140" w:line="300"/>
      </w:pPr>
      <w:r>
        <w:t xml:space="preserve">og-image.png, the preview picture shown when the site is shared on WhatsApp or LinkedIn, still uses the old design. Regenerate it in the new palette and typeface so shared links match the site, and check that the favicon matches too. This can be done now and swapped for a photo-based version once photography exists.</w:t>
      </w:r>
    </w:p>
    <w:p>
      <w:pPr>
        <w:pStyle w:val="Heading1"/>
      </w:pPr>
      <w:r>
        <w:t xml:space="preserve">What we need from Ikyem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900"/>
        <w:gridCol w:w="2226"/>
      </w:tblGrid>
      <w:tr>
        <w:trPr>
          <w:tblHeader/>
        </w:trPr>
        <w:tc>
          <w:tcPr>
            <w:tcW w:type="dxa" w:w="2900"/>
            <w:shd w:fill="F1F1EC" w:color="auto" w:val="clear"/>
            <w:tcMar>
              <w:top w:type="dxa" w:w="90"/>
              <w:left w:type="dxa" w:w="120"/>
              <w:bottom w:type="dxa" w:w="90"/>
              <w:right w:type="dxa" w:w="120"/>
            </w:tcMar>
          </w:tcPr>
          <w:p>
            <w:r>
              <w:rPr>
                <w:b/>
                <w:bCs/>
                <w:sz w:val="20"/>
                <w:szCs w:val="20"/>
              </w:rPr>
              <w:t xml:space="preserve">Item</w:t>
            </w:r>
          </w:p>
        </w:tc>
        <w:tc>
          <w:tcPr>
            <w:tcW w:type="dxa" w:w="3900"/>
            <w:shd w:fill="F1F1EC" w:color="auto" w:val="clear"/>
            <w:tcMar>
              <w:top w:type="dxa" w:w="90"/>
              <w:left w:type="dxa" w:w="120"/>
              <w:bottom w:type="dxa" w:w="90"/>
              <w:right w:type="dxa" w:w="120"/>
            </w:tcMar>
          </w:tcPr>
          <w:p>
            <w:r>
              <w:rPr>
                <w:b/>
                <w:bCs/>
                <w:sz w:val="20"/>
                <w:szCs w:val="20"/>
              </w:rPr>
              <w:t xml:space="preserve">Used for</w:t>
            </w:r>
          </w:p>
        </w:tc>
        <w:tc>
          <w:tcPr>
            <w:tcW w:type="dxa" w:w="2226"/>
            <w:shd w:fill="F1F1EC" w:color="auto" w:val="clear"/>
            <w:tcMar>
              <w:top w:type="dxa" w:w="90"/>
              <w:left w:type="dxa" w:w="120"/>
              <w:bottom w:type="dxa" w:w="90"/>
              <w:right w:type="dxa" w:w="120"/>
            </w:tcMar>
          </w:tcPr>
          <w:p>
            <w:r>
              <w:rPr>
                <w:b/>
                <w:bCs/>
                <w:sz w:val="20"/>
                <w:szCs w:val="20"/>
              </w:rPr>
              <w:t xml:space="preserve">Blocks</w:t>
            </w:r>
          </w:p>
        </w:tc>
      </w:tr>
      <w:tr>
        <w:trPr>
          <w:tblHeader w:val="false"/>
        </w:trPr>
        <w:tc>
          <w:tcPr>
            <w:tcW w:type="dxa" w:w="2900"/>
            <w:tcMar>
              <w:top w:type="dxa" w:w="90"/>
              <w:left w:type="dxa" w:w="120"/>
              <w:bottom w:type="dxa" w:w="90"/>
              <w:right w:type="dxa" w:w="120"/>
            </w:tcMar>
          </w:tcPr>
          <w:p>
            <w:r>
              <w:rPr>
                <w:b w:val="false"/>
                <w:bCs w:val="false"/>
                <w:sz w:val="20"/>
                <w:szCs w:val="20"/>
              </w:rPr>
              <w:t xml:space="preserve">WhatsApp number, email</w:t>
            </w:r>
          </w:p>
        </w:tc>
        <w:tc>
          <w:tcPr>
            <w:tcW w:type="dxa" w:w="3900"/>
            <w:tcMar>
              <w:top w:type="dxa" w:w="90"/>
              <w:left w:type="dxa" w:w="120"/>
              <w:bottom w:type="dxa" w:w="90"/>
              <w:right w:type="dxa" w:w="120"/>
            </w:tcMar>
          </w:tcPr>
          <w:p>
            <w:r>
              <w:rPr>
                <w:b w:val="false"/>
                <w:bCs w:val="false"/>
                <w:sz w:val="20"/>
                <w:szCs w:val="20"/>
              </w:rPr>
              <w:t xml:space="preserve">Enquiry section, footer</w:t>
            </w:r>
          </w:p>
        </w:tc>
        <w:tc>
          <w:tcPr>
            <w:tcW w:type="dxa" w:w="2226"/>
            <w:tcMar>
              <w:top w:type="dxa" w:w="90"/>
              <w:left w:type="dxa" w:w="120"/>
              <w:bottom w:type="dxa" w:w="90"/>
              <w:right w:type="dxa" w:w="120"/>
            </w:tcMar>
          </w:tcPr>
          <w:p>
            <w:r>
              <w:rPr>
                <w:b w:val="false"/>
                <w:bCs w:val="false"/>
                <w:sz w:val="20"/>
                <w:szCs w:val="20"/>
              </w:rPr>
              <w:t xml:space="preserve">Change 1</w:t>
            </w:r>
          </w:p>
        </w:tc>
      </w:tr>
      <w:tr>
        <w:trPr>
          <w:tblHeader w:val="false"/>
        </w:trPr>
        <w:tc>
          <w:tcPr>
            <w:tcW w:type="dxa" w:w="2900"/>
            <w:tcMar>
              <w:top w:type="dxa" w:w="90"/>
              <w:left w:type="dxa" w:w="120"/>
              <w:bottom w:type="dxa" w:w="90"/>
              <w:right w:type="dxa" w:w="120"/>
            </w:tcMar>
          </w:tcPr>
          <w:p>
            <w:r>
              <w:rPr>
                <w:b w:val="false"/>
                <w:bCs w:val="false"/>
                <w:sz w:val="20"/>
                <w:szCs w:val="20"/>
              </w:rPr>
              <w:t xml:space="preserve">Business address</w:t>
            </w:r>
          </w:p>
        </w:tc>
        <w:tc>
          <w:tcPr>
            <w:tcW w:type="dxa" w:w="3900"/>
            <w:tcMar>
              <w:top w:type="dxa" w:w="90"/>
              <w:left w:type="dxa" w:w="120"/>
              <w:bottom w:type="dxa" w:w="90"/>
              <w:right w:type="dxa" w:w="120"/>
            </w:tcMar>
          </w:tcPr>
          <w:p>
            <w:r>
              <w:rPr>
                <w:b w:val="false"/>
                <w:bCs w:val="false"/>
                <w:sz w:val="20"/>
                <w:szCs w:val="20"/>
              </w:rPr>
              <w:t xml:space="preserve">Footer, search listings (optional)</w:t>
            </w:r>
          </w:p>
        </w:tc>
        <w:tc>
          <w:tcPr>
            <w:tcW w:type="dxa" w:w="2226"/>
            <w:tcMar>
              <w:top w:type="dxa" w:w="90"/>
              <w:left w:type="dxa" w:w="120"/>
              <w:bottom w:type="dxa" w:w="90"/>
              <w:right w:type="dxa" w:w="120"/>
            </w:tcMar>
          </w:tcPr>
          <w:p>
            <w:r>
              <w:rPr>
                <w:b w:val="false"/>
                <w:bCs w:val="false"/>
                <w:sz w:val="20"/>
                <w:szCs w:val="20"/>
              </w:rPr>
              <w:t xml:space="preserve">—</w:t>
            </w:r>
          </w:p>
        </w:tc>
      </w:tr>
      <w:tr>
        <w:trPr>
          <w:tblHeader w:val="false"/>
        </w:trPr>
        <w:tc>
          <w:tcPr>
            <w:tcW w:type="dxa" w:w="2900"/>
            <w:tcMar>
              <w:top w:type="dxa" w:w="90"/>
              <w:left w:type="dxa" w:w="120"/>
              <w:bottom w:type="dxa" w:w="90"/>
              <w:right w:type="dxa" w:w="120"/>
            </w:tcMar>
          </w:tcPr>
          <w:p>
            <w:r>
              <w:rPr>
                <w:b w:val="false"/>
                <w:bCs w:val="false"/>
                <w:sz w:val="20"/>
                <w:szCs w:val="20"/>
              </w:rPr>
              <w:t xml:space="preserve">Product photos</w:t>
            </w:r>
          </w:p>
        </w:tc>
        <w:tc>
          <w:tcPr>
            <w:tcW w:type="dxa" w:w="3900"/>
            <w:tcMar>
              <w:top w:type="dxa" w:w="90"/>
              <w:left w:type="dxa" w:w="120"/>
              <w:bottom w:type="dxa" w:w="90"/>
              <w:right w:type="dxa" w:w="120"/>
            </w:tcMar>
          </w:tcPr>
          <w:p>
            <w:r>
              <w:rPr>
                <w:b w:val="false"/>
                <w:bCs w:val="false"/>
                <w:sz w:val="20"/>
                <w:szCs w:val="20"/>
              </w:rPr>
              <w:t xml:space="preserve">Hero, cutaway, seam comparison, range</w:t>
            </w:r>
          </w:p>
        </w:tc>
        <w:tc>
          <w:tcPr>
            <w:tcW w:type="dxa" w:w="2226"/>
            <w:tcMar>
              <w:top w:type="dxa" w:w="90"/>
              <w:left w:type="dxa" w:w="120"/>
              <w:bottom w:type="dxa" w:w="90"/>
              <w:right w:type="dxa" w:w="120"/>
            </w:tcMar>
          </w:tcPr>
          <w:p>
            <w:r>
              <w:rPr>
                <w:b w:val="false"/>
                <w:bCs w:val="false"/>
                <w:sz w:val="20"/>
                <w:szCs w:val="20"/>
              </w:rPr>
              <w:t xml:space="preserve">Change 3</w:t>
            </w:r>
          </w:p>
        </w:tc>
      </w:tr>
      <w:tr>
        <w:trPr>
          <w:tblHeader w:val="false"/>
        </w:trPr>
        <w:tc>
          <w:tcPr>
            <w:tcW w:type="dxa" w:w="2900"/>
            <w:tcMar>
              <w:top w:type="dxa" w:w="90"/>
              <w:left w:type="dxa" w:w="120"/>
              <w:bottom w:type="dxa" w:w="90"/>
              <w:right w:type="dxa" w:w="120"/>
            </w:tcMar>
          </w:tcPr>
          <w:p>
            <w:r>
              <w:rPr>
                <w:b w:val="false"/>
                <w:bCs w:val="false"/>
                <w:sz w:val="20"/>
                <w:szCs w:val="20"/>
              </w:rPr>
              <w:t xml:space="preserve">Product list and specs</w:t>
            </w:r>
          </w:p>
        </w:tc>
        <w:tc>
          <w:tcPr>
            <w:tcW w:type="dxa" w:w="3900"/>
            <w:tcMar>
              <w:top w:type="dxa" w:w="90"/>
              <w:left w:type="dxa" w:w="120"/>
              <w:bottom w:type="dxa" w:w="90"/>
              <w:right w:type="dxa" w:w="120"/>
            </w:tcMar>
          </w:tcPr>
          <w:p>
            <w:r>
              <w:rPr>
                <w:b w:val="false"/>
                <w:bCs w:val="false"/>
                <w:sz w:val="20"/>
                <w:szCs w:val="20"/>
              </w:rPr>
              <w:t xml:space="preserve">Range section</w:t>
            </w:r>
          </w:p>
        </w:tc>
        <w:tc>
          <w:tcPr>
            <w:tcW w:type="dxa" w:w="2226"/>
            <w:tcMar>
              <w:top w:type="dxa" w:w="90"/>
              <w:left w:type="dxa" w:w="120"/>
              <w:bottom w:type="dxa" w:w="90"/>
              <w:right w:type="dxa" w:w="120"/>
            </w:tcMar>
          </w:tcPr>
          <w:p>
            <w:r>
              <w:rPr>
                <w:b w:val="false"/>
                <w:bCs w:val="false"/>
                <w:sz w:val="20"/>
                <w:szCs w:val="20"/>
              </w:rPr>
              <w:t xml:space="preserve">Change 4</w:t>
            </w:r>
          </w:p>
        </w:tc>
      </w:tr>
      <w:tr>
        <w:trPr>
          <w:tblHeader w:val="false"/>
        </w:trPr>
        <w:tc>
          <w:tcPr>
            <w:tcW w:type="dxa" w:w="2900"/>
            <w:tcMar>
              <w:top w:type="dxa" w:w="90"/>
              <w:left w:type="dxa" w:w="120"/>
              <w:bottom w:type="dxa" w:w="90"/>
              <w:right w:type="dxa" w:w="120"/>
            </w:tcMar>
          </w:tcPr>
          <w:p>
            <w:r>
              <w:rPr>
                <w:b w:val="false"/>
                <w:bCs w:val="false"/>
                <w:sz w:val="20"/>
                <w:szCs w:val="20"/>
              </w:rPr>
              <w:t xml:space="preserve">Pricing or minimum order</w:t>
            </w:r>
          </w:p>
        </w:tc>
        <w:tc>
          <w:tcPr>
            <w:tcW w:type="dxa" w:w="3900"/>
            <w:tcMar>
              <w:top w:type="dxa" w:w="90"/>
              <w:left w:type="dxa" w:w="120"/>
              <w:bottom w:type="dxa" w:w="90"/>
              <w:right w:type="dxa" w:w="120"/>
            </w:tcMar>
          </w:tcPr>
          <w:p>
            <w:r>
              <w:rPr>
                <w:b w:val="false"/>
                <w:bCs w:val="false"/>
                <w:sz w:val="20"/>
                <w:szCs w:val="20"/>
              </w:rPr>
              <w:t xml:space="preserve">Range section, if shared publicly</w:t>
            </w:r>
          </w:p>
        </w:tc>
        <w:tc>
          <w:tcPr>
            <w:tcW w:type="dxa" w:w="2226"/>
            <w:tcMar>
              <w:top w:type="dxa" w:w="90"/>
              <w:left w:type="dxa" w:w="120"/>
              <w:bottom w:type="dxa" w:w="90"/>
              <w:right w:type="dxa" w:w="120"/>
            </w:tcMar>
          </w:tcPr>
          <w:p>
            <w:r>
              <w:rPr>
                <w:b w:val="false"/>
                <w:bCs w:val="false"/>
                <w:sz w:val="20"/>
                <w:szCs w:val="20"/>
              </w:rPr>
              <w:t xml:space="preserve">—</w:t>
            </w:r>
          </w:p>
        </w:tc>
      </w:tr>
      <w:tr>
        <w:trPr>
          <w:tblHeader w:val="false"/>
        </w:trPr>
        <w:tc>
          <w:tcPr>
            <w:tcW w:type="dxa" w:w="2900"/>
            <w:tcMar>
              <w:top w:type="dxa" w:w="90"/>
              <w:left w:type="dxa" w:w="120"/>
              <w:bottom w:type="dxa" w:w="90"/>
              <w:right w:type="dxa" w:w="120"/>
            </w:tcMar>
          </w:tcPr>
          <w:p>
            <w:r>
              <w:rPr>
                <w:b w:val="false"/>
                <w:bCs w:val="false"/>
                <w:sz w:val="20"/>
                <w:szCs w:val="20"/>
              </w:rPr>
              <w:t xml:space="preserve">Company background, customers</w:t>
            </w:r>
          </w:p>
        </w:tc>
        <w:tc>
          <w:tcPr>
            <w:tcW w:type="dxa" w:w="3900"/>
            <w:tcMar>
              <w:top w:type="dxa" w:w="90"/>
              <w:left w:type="dxa" w:w="120"/>
              <w:bottom w:type="dxa" w:w="90"/>
              <w:right w:type="dxa" w:w="120"/>
            </w:tcMar>
          </w:tcPr>
          <w:p>
            <w:r>
              <w:rPr>
                <w:b w:val="false"/>
                <w:bCs w:val="false"/>
                <w:sz w:val="20"/>
                <w:szCs w:val="20"/>
              </w:rPr>
              <w:t xml:space="preserve">Who we are section</w:t>
            </w:r>
          </w:p>
        </w:tc>
        <w:tc>
          <w:tcPr>
            <w:tcW w:type="dxa" w:w="2226"/>
            <w:tcMar>
              <w:top w:type="dxa" w:w="90"/>
              <w:left w:type="dxa" w:w="120"/>
              <w:bottom w:type="dxa" w:w="90"/>
              <w:right w:type="dxa" w:w="120"/>
            </w:tcMar>
          </w:tcPr>
          <w:p>
            <w:r>
              <w:rPr>
                <w:b w:val="false"/>
                <w:bCs w:val="false"/>
                <w:sz w:val="20"/>
                <w:szCs w:val="20"/>
              </w:rPr>
              <w:t xml:space="preserve">Change 5</w:t>
            </w:r>
          </w:p>
        </w:tc>
      </w:tr>
    </w:tbl>
    <w:p>
      <w:pPr>
        <w:spacing w:after="140" w:line="300"/>
      </w:pPr>
      <w:r>
        <w:t xml:space="preserve"/>
      </w:r>
    </w:p>
    <w:p>
      <w:pPr>
        <w:pStyle w:val="Heading1"/>
      </w:pPr>
      <w:r>
        <w:t xml:space="preserve">What we are deliberately not doing</w:t>
      </w:r>
    </w:p>
    <w:p>
      <w:pPr>
        <w:spacing w:after="140" w:line="300"/>
      </w:pPr>
      <w:r>
        <w:t xml:space="preserve">No custom cursors, extra parallax layers, animated number counters or fade-ins on every section. These are the effects that make a site look templated rather than modern. The current level of motion (one entrance, one scroll-driven explanation, and interactions that respond to the visitor) is about right. New effort goes into real content, not more animation.</w:t>
      </w:r>
    </w:p>
    <w:p>
      <w:pPr>
        <w:pStyle w:val="Heading1"/>
      </w:pPr>
      <w:r>
        <w:t xml:space="preserve">Suggested order</w:t>
      </w:r>
    </w:p>
    <w:p>
      <w:pPr>
        <w:spacing w:after="140" w:line="300"/>
      </w:pPr>
      <w:r>
        <w:t xml:space="preserve">Build the mobile menu and the enquiry section first, since neither needs anything beyond the contact details. Regenerate the share image at the same time. In parallel, collect photos and the product list from Ikyem. Once they arrive, add photography across the site and the spec blocks in the range section, then the "who we are" section last.</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Arial" w:cs="Arial" w:eastAsia="Arial" w:hAnsi="Arial"/>
      <w:b/>
      <w:bCs/>
      <w:sz w:val="48"/>
      <w:szCs w:val="48"/>
    </w:rPr>
  </w:style>
  <w:style w:type="paragraph" w:styleId="Heading1">
    <w:name w:val="Heading 1"/>
    <w:basedOn w:val="Normal"/>
    <w:next w:val="Normal"/>
    <w:qFormat/>
    <w:pPr>
      <w:pBdr>
        <w:top w:val="single" w:color="161616" w:sz="12" w:space="8"/>
      </w:pBdr>
      <w:spacing w:after="160" w:before="420"/>
      <w:outlineLvl w:val="0"/>
    </w:pPr>
    <w:rPr>
      <w:rFonts w:ascii="Arial" w:cs="Arial" w:eastAsia="Arial" w:hAnsi="Arial"/>
      <w:b/>
      <w:bCs/>
      <w:sz w:val="32"/>
      <w:szCs w:val="32"/>
    </w:rPr>
  </w:style>
  <w:style w:type="paragraph" w:styleId="Heading2">
    <w:name w:val="Heading 2"/>
    <w:basedOn w:val="Normal"/>
    <w:next w:val="Normal"/>
    <w:qFormat/>
    <w:pPr>
      <w:spacing w:after="100" w:before="300"/>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2026-09-24T17:57:42.697Z</dcterms:created>
  <dcterms:modified xsi:type="dcterms:W3CDTF">2026-09-24T17:57:42.705Z</dcterms:modified>
</cp:coreProperties>
</file>

<file path=docProps/custom.xml><?xml version="1.0" encoding="utf-8"?>
<Properties xmlns="http://schemas.openxmlformats.org/officeDocument/2006/custom-properties" xmlns:vt="http://schemas.openxmlformats.org/officeDocument/2006/docPropsVTypes"/>
</file>