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消费行业销售数据分析报告</w:t>
      </w:r>
    </w:p>
    <w:p>
      <w:pPr>
        <w:jc w:val="center"/>
      </w:pPr>
      <w:r>
        <w:rPr>
          <w:color w:val="646464"/>
          <w:sz w:val="24"/>
        </w:rPr>
        <w:t>报告日期：2024年12月</w:t>
      </w:r>
    </w:p>
    <w:p/>
    <w:p>
      <w:pPr>
        <w:pStyle w:val="Heading1"/>
      </w:pPr>
      <w:r>
        <w:t>一、执行摘要</w:t>
      </w:r>
    </w:p>
    <w:p>
      <w:r>
        <w:t>本报告基于350条销售记录进行分析，涵盖7大地区、7大产品品类和5种销售渠道。2024年度总销售额达到¥63.27百万元，总销量为285,807件。华东地区表现最为突出，贡献了最大的销售额份额。</w:t>
      </w:r>
    </w:p>
    <w:p/>
    <w:p>
      <w:pPr>
        <w:pStyle w:val="Heading1"/>
      </w:pPr>
      <w:r>
        <w:t>二、关键指标概览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总销售额</w:t>
            </w:r>
          </w:p>
        </w:tc>
        <w:tc>
          <w:tcPr>
            <w:tcW w:type="dxa" w:w="4320"/>
          </w:tcPr>
          <w:p>
            <w:r>
              <w:t>¥63,274,132.42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总销量</w:t>
            </w:r>
          </w:p>
        </w:tc>
        <w:tc>
          <w:tcPr>
            <w:tcW w:type="dxa" w:w="4320"/>
          </w:tcPr>
          <w:p>
            <w:r>
              <w:t>285,807 件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平均客单价</w:t>
            </w:r>
          </w:p>
        </w:tc>
        <w:tc>
          <w:tcPr>
            <w:tcW w:type="dxa" w:w="4320"/>
          </w:tcPr>
          <w:p>
            <w:r>
              <w:t>¥241.13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记录总数</w:t>
            </w:r>
          </w:p>
        </w:tc>
        <w:tc>
          <w:tcPr>
            <w:tcW w:type="dxa" w:w="4320"/>
          </w:tcPr>
          <w:p>
            <w:r>
              <w:t>350 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覆盖城市数</w:t>
            </w:r>
          </w:p>
        </w:tc>
        <w:tc>
          <w:tcPr>
            <w:tcW w:type="dxa" w:w="4320"/>
          </w:tcPr>
          <w:p>
            <w:r>
              <w:t>140 个</w:t>
            </w:r>
          </w:p>
        </w:tc>
      </w:tr>
    </w:tbl>
    <w:p/>
    <w:p>
      <w:pPr>
        <w:pStyle w:val="Heading1"/>
      </w:pPr>
      <w:r>
        <w:t>三、地区销售分析</w:t>
      </w:r>
    </w:p>
    <w:p>
      <w:r>
        <w:t>下图展示了各地区销售额的占比分布情况：</w:t>
      </w:r>
    </w:p>
    <w:p>
      <w:r>
        <w:drawing>
          <wp:inline xmlns:a="http://schemas.openxmlformats.org/drawingml/2006/main" xmlns:pic="http://schemas.openxmlformats.org/drawingml/2006/picture">
            <wp:extent cx="5029200" cy="5340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region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4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从地区分布来看，华东地区销售额最高，占比20.5%，显示出该地区强劲的消费能力和市场潜力。</w:t>
      </w:r>
    </w:p>
    <w:p/>
    <w:p>
      <w:pPr>
        <w:pStyle w:val="Heading1"/>
      </w:pPr>
      <w:r>
        <w:t>四、产品品类分析</w:t>
      </w:r>
    </w:p>
    <w:p>
      <w:r>
        <w:t>各产品品类销售额对比如下图所示：</w:t>
      </w:r>
    </w:p>
    <w:p>
      <w:r>
        <w:drawing>
          <wp:inline xmlns:a="http://schemas.openxmlformats.org/drawingml/2006/main" xmlns:pic="http://schemas.openxmlformats.org/drawingml/2006/picture">
            <wp:extent cx="5029200" cy="2928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category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数码家电是销售额最高的品类，达到¥28.27百万元。该品类的高销售额主要得益于其较高的单价和稳定的市场需求。</w:t>
      </w:r>
    </w:p>
    <w:p/>
    <w:p>
      <w:pPr>
        <w:pStyle w:val="Heading1"/>
      </w:pPr>
      <w:r>
        <w:t>五、销售渠道分析</w:t>
      </w:r>
    </w:p>
    <w:p>
      <w:r>
        <w:t>不同销售渠道的销售额表现如下图所示：</w:t>
      </w:r>
    </w:p>
    <w:p>
      <w:r>
        <w:drawing>
          <wp:inline xmlns:a="http://schemas.openxmlformats.org/drawingml/2006/main" xmlns:pic="http://schemas.openxmlformats.org/drawingml/2006/picture">
            <wp:extent cx="5029200" cy="3183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channel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批发市场渠道销售额最高（¥17.66百万元），而线下门店渠道相对较低。建议针对不同渠道制定差异化的营销策略。</w:t>
      </w:r>
    </w:p>
    <w:p/>
    <w:p>
      <w:pPr>
        <w:pStyle w:val="Heading1"/>
      </w:pPr>
      <w:r>
        <w:t>六、月度销售趋势</w:t>
      </w:r>
    </w:p>
    <w:p>
      <w:r>
        <w:t>2024年月度销售额变化趋势如下图所示：</w:t>
      </w:r>
    </w:p>
    <w:p>
      <w:r>
        <w:drawing>
          <wp:inline xmlns:a="http://schemas.openxmlformats.org/drawingml/2006/main" xmlns:pic="http://schemas.openxmlformats.org/drawingml/2006/picture">
            <wp:extent cx="5029200" cy="24948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monthly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销售数据显示，10月份销售额达到峰值，而8月份相对较低。这种季节性波动可能与节假日促销、消费习惯等因素相关。</w:t>
      </w:r>
    </w:p>
    <w:p/>
    <w:p>
      <w:pPr>
        <w:pStyle w:val="Heading1"/>
      </w:pPr>
      <w:r>
        <w:t>七、城市销售排名</w:t>
      </w:r>
    </w:p>
    <w:p>
      <w:r>
        <w:t>销售额TOP10城市如下图所示：</w:t>
      </w:r>
    </w:p>
    <w:p>
      <w:r>
        <w:drawing>
          <wp:inline xmlns:a="http://schemas.openxmlformats.org/drawingml/2006/main" xmlns:pic="http://schemas.openxmlformats.org/drawingml/2006/picture">
            <wp:extent cx="5029200" cy="3354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top10_c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长治以¥2.79百万元的销售额位居榜首，是重要的核心市场。建议在这些重点城市加大资源投入，进一步巩固市场地位。</w:t>
      </w:r>
    </w:p>
    <w:p/>
    <w:p>
      <w:pPr>
        <w:pStyle w:val="Heading1"/>
      </w:pPr>
      <w:r>
        <w:t>八、销量与销售额关系分析</w:t>
      </w:r>
    </w:p>
    <w:p>
      <w:r>
        <w:t>下图展示了各产品品类的销量与销售额分布关系：</w:t>
      </w:r>
    </w:p>
    <w:p>
      <w:r>
        <w:drawing>
          <wp:inline xmlns:a="http://schemas.openxmlformats.org/drawingml/2006/main" xmlns:pic="http://schemas.openxmlformats.org/drawingml/2006/picture">
            <wp:extent cx="5029200" cy="31875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7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从散点图可以看出，不同品类在销量和销售额维度上呈现差异化特征。部分品类（如数码家电）单价较高，即使销量相对较低也能贡献可观的销售额；而食品饮料等快消品则依靠高销量带动整体销售。</w:t>
      </w:r>
    </w:p>
    <w:p/>
    <w:p>
      <w:pPr>
        <w:pStyle w:val="Heading1"/>
      </w:pPr>
      <w:r>
        <w:t>九、结论与建议</w:t>
      </w:r>
    </w:p>
    <w:p>
      <w:pPr>
        <w:pStyle w:val="Heading2"/>
      </w:pPr>
      <w:r>
        <w:t>主要发现：</w:t>
      </w:r>
    </w:p>
    <w:p>
      <w:pPr>
        <w:pStyle w:val="ListBullet"/>
      </w:pPr>
      <w:r>
        <w:t>华东地区是最大销售市场，贡献了20.5%的销售额</w:t>
      </w:r>
    </w:p>
    <w:p>
      <w:pPr>
        <w:pStyle w:val="ListBullet"/>
      </w:pPr>
      <w:r>
        <w:t>数码家电品类表现最佳，建议继续深耕</w:t>
      </w:r>
    </w:p>
    <w:p>
      <w:pPr>
        <w:pStyle w:val="ListBullet"/>
      </w:pPr>
      <w:r>
        <w:t>批发市场渠道优势明显，应持续优化</w:t>
      </w:r>
    </w:p>
    <w:p>
      <w:pPr>
        <w:pStyle w:val="ListBullet"/>
      </w:pPr>
      <w:r>
        <w:t>销售呈现明显的季节性波动，需提前做好库存和营销准备</w:t>
      </w:r>
    </w:p>
    <w:p>
      <w:pPr>
        <w:pStyle w:val="ListBullet"/>
      </w:pPr>
      <w:r>
        <w:t>长治等核心城市是增长引擎</w:t>
      </w:r>
    </w:p>
    <w:p>
      <w:pPr>
        <w:pStyle w:val="Heading2"/>
      </w:pPr>
      <w:r>
        <w:t>策略建议：</w:t>
      </w:r>
    </w:p>
    <w:p>
      <w:pPr>
        <w:pStyle w:val="ListBullet"/>
      </w:pPr>
      <w:r>
        <w:t>加大对华东、华南等核心地区的资源投入，巩固市场领先地位</w:t>
      </w:r>
    </w:p>
    <w:p>
      <w:pPr>
        <w:pStyle w:val="ListBullet"/>
      </w:pPr>
      <w:r>
        <w:t>针对高潜力品类（如数码家电、美妆护肤）制定专项推广计划</w:t>
      </w:r>
    </w:p>
    <w:p>
      <w:pPr>
        <w:pStyle w:val="ListBullet"/>
      </w:pPr>
      <w:r>
        <w:t>优化线上电商和直播带货渠道运营，提升转化率</w:t>
      </w:r>
    </w:p>
    <w:p>
      <w:pPr>
        <w:pStyle w:val="ListBullet"/>
      </w:pPr>
      <w:r>
        <w:t>在销售额较低的地区探索新的市场机会和渠道合作</w:t>
      </w:r>
    </w:p>
    <w:p>
      <w:pPr>
        <w:pStyle w:val="ListBullet"/>
      </w:pPr>
      <w:r>
        <w:t>根据月度销售趋势，合理安排库存和促销活动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