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center"/>
      </w:pPr>
      <w:r>
        <w:rPr>
          <w:rFonts w:ascii="宋体" w:hAnsi="宋体" w:eastAsia="宋体"/>
          <w:b/>
          <w:color w:val="000000"/>
          <w:sz w:val="52"/>
        </w:rPr>
        <w:t>2024年第一季度财务分析报告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4"/>
        </w:rPr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32"/>
        </w:rPr>
        <w:t>XX科技股份有限公司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24"/>
        </w:rPr>
        <w:t>报告期间：2024年1月1日 — 2024年3月31日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24"/>
        </w:rPr>
        <w:t>编制日期：2024年4月15日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24"/>
        </w:rPr>
        <w:t>编制部门：财务管理部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C00000"/>
          <w:sz w:val="24"/>
        </w:rPr>
        <w:t>审计状态：待审计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一、财务摘要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二、收入分析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 xml:space="preserve">    2.1 按产品线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 xml:space="preserve">    2.2 按区域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三、成本结构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四、利润分析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五、现金流概况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六、风险提示与建议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一、财务摘要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本季度公司整体财务表现稳健，营业收入同比增长15.9%，净利润同比增长53.7%，毛利率与净利率均实现提升。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2024Q1(万元)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2023Q1(万元)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同比变化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营业收入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12,580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10,850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+15.9%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营业成本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8,240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7,320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+12.6%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毛利润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4,340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3,530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毛利率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34.5%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32.5%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+2.0pp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运营费用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2,680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2,450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+9.4%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营业利润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1,660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1,080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+53.7%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净利润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1,245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810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+53.7%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净利率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9.9%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7.5%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+2.4pp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经营现金流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1,890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1,420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+33.1%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自由现金流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650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+50.8%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二、收入分析</w:t>
      </w:r>
    </w:p>
    <w:p>
      <w:pPr>
        <w:pStyle w:val="Heading2"/>
        <w:spacing w:before="240" w:after="160"/>
      </w:pPr>
      <w:r>
        <w:rPr>
          <w:rFonts w:ascii="黑体" w:hAnsi="黑体" w:eastAsia="黑体"/>
          <w:b/>
          <w:color w:val="000000"/>
          <w:sz w:val="28"/>
        </w:rPr>
        <w:t>2.1 按产品线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产品线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2024Q1(万元)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同比变化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收入占比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智能硬件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5,340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+18.1%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42.4%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SaaS订阅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4,120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+26.8%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32.7%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咨询服务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1,860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+10.7%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14.8%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技术支持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1,260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-10.0%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10.0%</w:t>
            </w:r>
          </w:p>
        </w:tc>
      </w:tr>
    </w:tbl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SaaS订阅业务增长最快（+26.8%），成为第二大收入来源；技术支持收入同比下降10.0%，主要因一次性项目减少。</w:t>
      </w:r>
    </w:p>
    <w:p>
      <w:pPr>
        <w:pStyle w:val="Heading2"/>
        <w:spacing w:before="240" w:after="160"/>
      </w:pPr>
      <w:r>
        <w:rPr>
          <w:rFonts w:ascii="黑体" w:hAnsi="黑体" w:eastAsia="黑体"/>
          <w:b/>
          <w:color w:val="000000"/>
          <w:sz w:val="28"/>
        </w:rPr>
        <w:t>2.2 按区域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区域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2024Q1(万元)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同比变化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收入占比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华东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4,650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+16.8%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37.0%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华南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3,520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+18.1%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华北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2,140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+15.1%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西南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1,380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+10.4%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海外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890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+14.1%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7.1%</w:t>
            </w:r>
          </w:p>
        </w:tc>
      </w:tr>
    </w:tbl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华东与华南合计贡献65%收入，海外业务稳步增长，占比提升至7.1%。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三、成本结构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本季度营业成本同比增长12.6%，低于收入增速，规模效应初显。研发投入增长14.0%，持续加大产品创新。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成本项目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2024Q1(万元)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同比变化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占总成本比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原材料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3,120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+9.9%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37.9%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人工成本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1,860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+10.7%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22.6%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制造费用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1,240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+10.7%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研发投入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+14.0%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11.9%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市场营销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+10.8%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8.7%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管理费用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680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+9.7%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8.3%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折旧摊销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640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+16.4%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7.8%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四、利润分析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毛利率连续两个季度提升，从2023Q3的31.8%上升至2024Q1的34.5%；净利率同步改善，盈利能力显著增强。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季度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毛利率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净利率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营业利润率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2023Q1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32.5%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7.5%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10.0%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2023Q2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33.2%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8.2%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10.8%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2023Q3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31.8%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7.1%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9.5%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2023Q4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34.0%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9.5%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12.5%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2024Q1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34.5%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9.9%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13.2%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五、现金流概况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经营活动净现金流同比增长33.1%，现金流质量良好；投资与筹资活动现金流出处于可控范围，现金净增加额825万元。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2024Q1(万元)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2023Q1(万元)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经营活动现金流入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4,520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3,860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经营活动现金流出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2,630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2,440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经营活动净现金流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1,890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1,420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投资活动净现金流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-680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-520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筹资活动净现金流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-420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-380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汇率变动影响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现金净增加额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825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540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rPr>
          <w:rFonts w:ascii="黑体" w:hAnsi="黑体" w:eastAsia="黑体"/>
          <w:b/>
          <w:color w:val="000000"/>
          <w:sz w:val="32"/>
        </w:rPr>
        <w:t>六、风险提示与建议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风险类别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风险等级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影响描述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应对建议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市场竞争加剧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SaaS赛道竞争者增多，获客成本上升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加大产品差异化投入，提升客户留存率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原材料价格波动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芯片及电子元器件价格存在上涨压力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锁定长期供应协议，优化库存管理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汇率波动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海外收入占比提升，汇率波动影响利润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开展外汇套期保值，分散结算币种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人才流失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核心技术人才市场竞争激烈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完善股权激励计划，优化研发文化</w:t>
            </w:r>
          </w:p>
        </w:tc>
      </w:tr>
    </w:tbl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0"/>
        </w:rPr>
      </w:r>
    </w:p>
    <w:p>
      <w:pPr>
        <w:spacing w:after="120"/>
        <w:jc w:val="left"/>
      </w:pPr>
      <w:r>
        <w:rPr>
          <w:rFonts w:ascii="宋体" w:hAnsi="宋体" w:eastAsia="宋体"/>
          <w:b/>
          <w:color w:val="000000"/>
          <w:sz w:val="22"/>
        </w:rPr>
        <w:t>【审计声明】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本报告所载财务数据由公司财务管理部编制，基于企业会计准则及内部会计政策。所有重大交易均已入账，报表附注完整。本报告待独立审计师审阅后出具审计意见。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color w:val="000000"/>
          <w:sz w:val="20"/>
        </w:rPr>
      </w:r>
    </w:p>
    <w:p>
      <w:pPr>
        <w:spacing w:after="120"/>
        <w:jc w:val="right"/>
      </w:pPr>
      <w:r>
        <w:rPr>
          <w:rFonts w:ascii="宋体" w:hAnsi="宋体" w:eastAsia="宋体"/>
          <w:b w:val="0"/>
          <w:color w:val="000000"/>
          <w:sz w:val="21"/>
        </w:rPr>
        <w:t>编制人：___________    审核人：___________    日期：2024年4月15日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