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Microsoft YaHei" w:cs="Microsoft YaHei" w:hAnsi="Microsoft YaHei" w:eastAsia="Microsoft YaHei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zh-CN" w:eastAsia="zh-CN"/>
        </w:rPr>
        <w:t>使用说明</w:t>
      </w:r>
    </w:p>
    <w:p>
      <w:pPr>
        <w:pStyle w:val="Body"/>
        <w:bidi w:val="0"/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一、功能说明</w:t>
      </w: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二、观察国别数据</w:t>
      </w: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三、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观察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省级数据</w:t>
      </w: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四、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观察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地市数据</w:t>
      </w: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五、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观察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县级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数据</w:t>
      </w: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Body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附则：</w:t>
      </w:r>
    </w:p>
    <w:p>
      <w:pPr>
        <w:pStyle w:val="Body"/>
      </w:pPr>
      <w:r>
        <w:rPr>
          <w:rFonts w:ascii="Microsoft YaHei" w:hAnsi="Microsoft YaHei"/>
          <w:sz w:val="24"/>
          <w:szCs w:val="24"/>
          <w:rtl w:val="0"/>
          <w:lang w:val="zh-CN" w:eastAsia="zh-CN"/>
        </w:rPr>
        <w:t>1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、设置简单的网页服务器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