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left"/>
      </w:pPr>
      <w:r>
        <w:rPr>
          <w:rFonts w:ascii="맑은 고딕" w:hAnsi="맑은 고딕" w:eastAsia="맑은 고딕"/>
          <w:b/>
          <w:color w:val="2E74B5"/>
          <w:sz w:val="18"/>
        </w:rPr>
        <w:t>의사결정 보고서</w:t>
      </w:r>
    </w:p>
    <w:p>
      <w:pPr>
        <w:spacing w:before="0" w:after="10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46"/>
        </w:rPr>
        <w:t>LearnCraft 서비스 안정화 및</w:t>
        <w:br/>
        <w:t>확장 대응 보고</w:t>
      </w:r>
    </w:p>
    <w:p>
      <w:pPr>
        <w:spacing w:before="0" w:after="280" w:line="264" w:lineRule="auto"/>
        <w:jc w:val="left"/>
      </w:pPr>
      <w:r>
        <w:rPr>
          <w:rFonts w:ascii="맑은 고딕" w:hAnsi="맑은 고딕" w:eastAsia="맑은 고딕"/>
          <w:b w:val="0"/>
          <w:color w:val="5F6B76"/>
          <w:sz w:val="25"/>
        </w:rPr>
        <w:t>Neon DB 트래픽 장애 원인과 전국 학교 확장을 위한 개선안</w:t>
      </w:r>
    </w:p>
    <w:p>
      <w:pPr>
        <w:spacing w:before="0" w:after="40" w:line="264" w:lineRule="auto"/>
        <w:jc w:val="left"/>
      </w:pPr>
      <w:r>
        <w:rPr>
          <w:rFonts w:ascii="맑은 고딕" w:hAnsi="맑은 고딕" w:eastAsia="맑은 고딕"/>
          <w:b/>
          <w:color w:val="17365D"/>
          <w:sz w:val="19"/>
        </w:rPr>
        <w:t xml:space="preserve">보고 대상  </w:t>
      </w:r>
      <w:r>
        <w:rPr>
          <w:rFonts w:ascii="맑은 고딕" w:hAnsi="맑은 고딕" w:eastAsia="맑은 고딕"/>
          <w:b w:val="0"/>
          <w:color w:val="111111"/>
          <w:sz w:val="19"/>
        </w:rPr>
        <w:t>학교 관계자 및 사업 의사결정자</w:t>
      </w:r>
    </w:p>
    <w:p>
      <w:pPr>
        <w:spacing w:before="0" w:after="40" w:line="264" w:lineRule="auto"/>
        <w:jc w:val="left"/>
      </w:pPr>
      <w:r>
        <w:rPr>
          <w:rFonts w:ascii="맑은 고딕" w:hAnsi="맑은 고딕" w:eastAsia="맑은 고딕"/>
          <w:b/>
          <w:color w:val="17365D"/>
          <w:sz w:val="19"/>
        </w:rPr>
        <w:t xml:space="preserve">작성 기준일  </w:t>
      </w:r>
      <w:r>
        <w:rPr>
          <w:rFonts w:ascii="맑은 고딕" w:hAnsi="맑은 고딕" w:eastAsia="맑은 고딕"/>
          <w:b w:val="0"/>
          <w:color w:val="111111"/>
          <w:sz w:val="19"/>
        </w:rPr>
        <w:t>2026년 9월 12일</w:t>
      </w:r>
    </w:p>
    <w:p>
      <w:pPr>
        <w:spacing w:before="0" w:after="40" w:line="264" w:lineRule="auto"/>
        <w:jc w:val="left"/>
      </w:pPr>
      <w:r>
        <w:rPr>
          <w:rFonts w:ascii="맑은 고딕" w:hAnsi="맑은 고딕" w:eastAsia="맑은 고딕"/>
          <w:b/>
          <w:color w:val="17365D"/>
          <w:sz w:val="19"/>
        </w:rPr>
        <w:t xml:space="preserve">검토 범위  </w:t>
      </w:r>
      <w:r>
        <w:rPr>
          <w:rFonts w:ascii="맑은 고딕" w:hAnsi="맑은 고딕" w:eastAsia="맑은 고딕"/>
          <w:b w:val="0"/>
          <w:color w:val="111111"/>
          <w:sz w:val="19"/>
        </w:rPr>
        <w:t>LearnCraft 전체 애플리케이션 코드 및 운영 구성</w:t>
      </w:r>
    </w:p>
    <w:p>
      <w:pPr>
        <w:spacing w:before="0" w:after="40" w:line="264" w:lineRule="auto"/>
        <w:jc w:val="left"/>
      </w:pPr>
      <w:r>
        <w:rPr>
          <w:rFonts w:ascii="맑은 고딕" w:hAnsi="맑은 고딕" w:eastAsia="맑은 고딕"/>
          <w:b/>
          <w:color w:val="17365D"/>
          <w:sz w:val="19"/>
        </w:rPr>
        <w:t xml:space="preserve">보고 목적  </w:t>
      </w:r>
      <w:r>
        <w:rPr>
          <w:rFonts w:ascii="맑은 고딕" w:hAnsi="맑은 고딕" w:eastAsia="맑은 고딕"/>
          <w:b w:val="0"/>
          <w:color w:val="111111"/>
          <w:sz w:val="19"/>
        </w:rPr>
        <w:t>서비스 복구·재발 방지·확장 투자 방향 결정</w:t>
      </w:r>
    </w:p>
    <w:p>
      <w:pPr>
        <w:spacing w:before="40" w:after="160" w:line="259" w:lineRule="auto"/>
        <w:shd w:fill="EAF2F8"/>
        <w:pBdr>
          <w:top w:val="single" w:sz="10" w:space="7" w:color="2E74B5"/>
          <w:left w:val="single" w:sz="10" w:space="7" w:color="2E74B5"/>
          <w:bottom w:val="single" w:sz="10" w:space="7" w:color="2E74B5"/>
          <w:right w:val="single" w:sz="10" w:space="7" w:color="2E74B5"/>
        </w:pBdr>
      </w:pPr>
      <w:r>
        <w:rPr>
          <w:rFonts w:ascii="맑은 고딕" w:hAnsi="맑은 고딕" w:eastAsia="맑은 고딕"/>
          <w:b/>
          <w:color w:val="2E74B5"/>
          <w:sz w:val="21"/>
        </w:rPr>
        <w:t xml:space="preserve">종합 결론  </w:t>
      </w:r>
      <w:r>
        <w:rPr>
          <w:rFonts w:ascii="맑은 고딕" w:hAnsi="맑은 고딕" w:eastAsia="맑은 고딕"/>
          <w:b w:val="0"/>
          <w:color w:val="111111"/>
          <w:sz w:val="21"/>
        </w:rPr>
        <w:t>이번 장애는 데이터 손실이 아니라 무료 DB의 월간 네트워크 전송 한도 초과로 연결이 제한된 사례입니다. 단기적으로 유료 전환이 필요하지만, 비용만 늘려서는 재발을 막기 어렵습니다. 핵심 데이터 전송 구조를 먼저 개선한 뒤 이용 규모에 맞춰 인프라를 확대하는 것이 가장 합리적입니다.</w:t>
      </w:r>
    </w:p>
    <w:p>
      <w:pPr>
        <w:keepNext/>
        <w:spacing w:before="0" w:after="40" w:line="264" w:lineRule="auto"/>
        <w:jc w:val="left"/>
      </w:pPr>
      <w:r>
        <w:rPr>
          <w:rFonts w:ascii="맑은 고딕" w:hAnsi="맑은 고딕" w:eastAsia="맑은 고딕"/>
          <w:b/>
          <w:color w:val="2E74B5"/>
          <w:sz w:val="17"/>
        </w:rPr>
        <w:t>현재 확인된 수치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50"/>
        <w:gridCol w:w="1900"/>
        <w:gridCol w:w="1900"/>
        <w:gridCol w:w="3210"/>
      </w:tblGrid>
      <w:tr>
        <w:trPr>
          <w:tblHeader w:val="true"/>
        </w:trPr>
        <w:tc>
          <w:tcPr>
            <w:tcW w:type="dxa" w:w="235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무료 한도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장애 당시</w:t>
            </w:r>
          </w:p>
        </w:tc>
        <w:tc>
          <w:tcPr>
            <w:tcW w:type="dxa" w:w="321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판단</w:t>
            </w:r>
          </w:p>
        </w:tc>
      </w:tr>
      <w:tr>
        <w:tc>
          <w:tcPr>
            <w:tcW w:type="dxa" w:w="235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17365D"/>
                <w:sz w:val="17"/>
              </w:rPr>
              <w:t>네트워크 전송량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5 GB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5.57 GB</w:t>
            </w:r>
          </w:p>
        </w:tc>
        <w:tc>
          <w:tcPr>
            <w:tcW w:type="dxa" w:w="321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FDEBEC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한도 초과 · 연결 제한</w:t>
            </w:r>
          </w:p>
        </w:tc>
      </w:tr>
      <w:tr>
        <w:tc>
          <w:tcPr>
            <w:tcW w:type="dxa" w:w="235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17365D"/>
                <w:sz w:val="17"/>
              </w:rPr>
              <w:t>DB 저장공간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0.5 GB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0.08 GB</w:t>
            </w:r>
          </w:p>
        </w:tc>
        <w:tc>
          <w:tcPr>
            <w:tcW w:type="dxa" w:w="321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EAF5EF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여유 있음</w:t>
            </w:r>
          </w:p>
        </w:tc>
      </w:tr>
      <w:tr>
        <w:tc>
          <w:tcPr>
            <w:tcW w:type="dxa" w:w="235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17365D"/>
                <w:sz w:val="17"/>
              </w:rPr>
              <w:t>컴퓨팅 사용량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100 CU-시간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12.93 CU-시간</w:t>
            </w:r>
          </w:p>
        </w:tc>
        <w:tc>
          <w:tcPr>
            <w:tcW w:type="dxa" w:w="321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EAF5EF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주원인 아님</w:t>
            </w:r>
          </w:p>
        </w:tc>
      </w:tr>
    </w:tbl>
    <w:p>
      <w:pPr>
        <w:spacing w:after="20"/>
      </w:pPr>
    </w:p>
    <w:p>
      <w:pPr>
        <w:keepNext/>
        <w:spacing w:before="0" w:after="40" w:line="264" w:lineRule="auto"/>
        <w:jc w:val="left"/>
      </w:pPr>
      <w:r>
        <w:rPr>
          <w:rFonts w:ascii="맑은 고딕" w:hAnsi="맑은 고딕" w:eastAsia="맑은 고딕"/>
          <w:b/>
          <w:color w:val="2E74B5"/>
          <w:sz w:val="17"/>
        </w:rPr>
        <w:t>이번 주 승인 요청</w:t>
      </w:r>
    </w:p>
    <w:p>
      <w:pPr>
        <w:pStyle w:val="ListNumber"/>
        <w:numPr>
          <w:ilvl w:val="0"/>
          <w:numId w:val="10"/>
        </w:numPr>
        <w:spacing w:after="140" w:line="264" w:lineRule="auto"/>
      </w:pPr>
      <w:r>
        <w:rPr>
          <w:rFonts w:ascii="맑은 고딕" w:hAnsi="맑은 고딕" w:eastAsia="맑은 고딕"/>
          <w:b/>
          <w:color w:val="17365D"/>
          <w:sz w:val="20"/>
        </w:rPr>
        <w:t>서비스 복구</w:t>
      </w:r>
      <w:r>
        <w:rPr>
          <w:rFonts w:ascii="맑은 고딕" w:hAnsi="맑은 고딕" w:eastAsia="맑은 고딕"/>
          <w:color w:val="111111"/>
          <w:sz w:val="20"/>
        </w:rPr>
        <w:t xml:space="preserve">  Neon 유료 플랜 전환을 승인하고 정상 접속을 우선 복구합니다.</w:t>
      </w:r>
    </w:p>
    <w:p>
      <w:pPr>
        <w:pStyle w:val="ListNumber"/>
        <w:numPr>
          <w:ilvl w:val="0"/>
          <w:numId w:val="10"/>
        </w:numPr>
        <w:spacing w:after="140" w:line="264" w:lineRule="auto"/>
      </w:pPr>
      <w:r>
        <w:rPr>
          <w:rFonts w:ascii="맑은 고딕" w:hAnsi="맑은 고딕" w:eastAsia="맑은 고딕"/>
          <w:b/>
          <w:color w:val="17365D"/>
          <w:sz w:val="20"/>
        </w:rPr>
        <w:t>재발 방지 작업</w:t>
      </w:r>
      <w:r>
        <w:rPr>
          <w:rFonts w:ascii="맑은 고딕" w:hAnsi="맑은 고딕" w:eastAsia="맑은 고딕"/>
          <w:color w:val="111111"/>
          <w:sz w:val="20"/>
        </w:rPr>
        <w:t xml:space="preserve">  1~2주간 데이터 경량화·캐시·이미지 저장 구조 개선을 우선 시행합니다.</w:t>
      </w:r>
    </w:p>
    <w:p>
      <w:pPr>
        <w:pStyle w:val="ListNumber"/>
        <w:numPr>
          <w:ilvl w:val="0"/>
          <w:numId w:val="10"/>
        </w:numPr>
        <w:spacing w:after="140" w:line="264" w:lineRule="auto"/>
      </w:pPr>
      <w:r>
        <w:rPr>
          <w:rFonts w:ascii="맑은 고딕" w:hAnsi="맑은 고딕" w:eastAsia="맑은 고딕"/>
          <w:b/>
          <w:color w:val="17365D"/>
          <w:sz w:val="20"/>
        </w:rPr>
        <w:t>확장 준비</w:t>
      </w:r>
      <w:r>
        <w:rPr>
          <w:rFonts w:ascii="맑은 고딕" w:hAnsi="맑은 고딕" w:eastAsia="맑은 고딕"/>
          <w:color w:val="111111"/>
          <w:sz w:val="20"/>
        </w:rPr>
        <w:t xml:space="preserve">  학교별 이용량과 비용을 측정하는 운영 지표를 도입하고 단계별 증설 기준을 확정합니다.</w:t>
      </w:r>
    </w:p>
    <w:p>
      <w:r>
        <w:br w:type="page"/>
      </w:r>
    </w:p>
    <w:p>
      <w:pPr>
        <w:pStyle w:val="Heading1"/>
        <w:keepNext/>
      </w:pPr>
      <w:r>
        <w:t>1. 무엇이 발생했는가</w:t>
      </w:r>
    </w:p>
    <w:p>
      <w:pPr>
        <w:spacing w:before="0" w:after="180" w:line="264" w:lineRule="auto"/>
        <w:jc w:val="left"/>
      </w:pPr>
      <w:r>
        <w:rPr>
          <w:rFonts w:ascii="맑은 고딕" w:hAnsi="맑은 고딕" w:eastAsia="맑은 고딕"/>
          <w:b w:val="0"/>
          <w:color w:val="111111"/>
          <w:sz w:val="21"/>
        </w:rPr>
        <w:t>Neon DB의 저장공간이 부족했던 것이 아니라, DB에서 애플리케이션으로 전달된 데이터의 누적량이 무료 한도를 넘었습니다. Neon은 한도 초과 후 데이터베이스 연결을 제한했고, 로그인 과정도 DB의 사용자 정보를 확인해야 하므로 전체 서비스가 로그인 불가처럼 보였습니다.</w:t>
      </w:r>
    </w:p>
    <w:p>
      <w:pPr>
        <w:keepNext/>
        <w:spacing w:before="0" w:after="40" w:line="264" w:lineRule="auto"/>
        <w:jc w:val="left"/>
      </w:pPr>
      <w:r>
        <w:rPr>
          <w:rFonts w:ascii="맑은 고딕" w:hAnsi="맑은 고딕" w:eastAsia="맑은 고딕"/>
          <w:b/>
          <w:color w:val="2E74B5"/>
          <w:sz w:val="17"/>
        </w:rPr>
        <w:t>장애 전개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1. 과다 전송</w:t>
            </w:r>
          </w:p>
        </w:tc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2. 한도 초과</w:t>
            </w:r>
          </w:p>
        </w:tc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3. DB 연결 제한</w:t>
            </w:r>
          </w:p>
        </w:tc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4. 서비스 장애</w:t>
            </w:r>
          </w:p>
        </w:tc>
      </w:tr>
      <w:tr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큰 데이터를 반복 조회</w:t>
            </w:r>
          </w:p>
        </w:tc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무료 5 GB 소진</w:t>
            </w:r>
          </w:p>
        </w:tc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인증·조회 요청 차단</w:t>
            </w:r>
          </w:p>
        </w:tc>
        <w:tc>
          <w:tcPr>
            <w:tcW w:type="dxa" w:w="234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로그인 및 주요 기능 중단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트래픽이 빠르게 증가한 이유</w:t>
      </w:r>
    </w:p>
    <w:p>
      <w:pPr>
        <w:pStyle w:val="ListNumber"/>
        <w:numPr>
          <w:ilvl w:val="0"/>
          <w:numId w:val="11"/>
        </w:numPr>
        <w:spacing w:after="140" w:line="264" w:lineRule="auto"/>
      </w:pPr>
      <w:r>
        <w:rPr>
          <w:rFonts w:ascii="맑은 고딕" w:hAnsi="맑은 고딕" w:eastAsia="맑은 고딕"/>
          <w:b/>
          <w:color w:val="17365D"/>
          <w:sz w:val="20"/>
        </w:rPr>
        <w:t>교육과정 데이터의 과다 조회</w:t>
      </w:r>
      <w:r>
        <w:rPr>
          <w:rFonts w:ascii="맑은 고딕" w:hAnsi="맑은 고딕" w:eastAsia="맑은 고딕"/>
          <w:color w:val="111111"/>
          <w:sz w:val="20"/>
        </w:rPr>
        <w:t xml:space="preserve">  단원 하나가 필요해도 상세 교육과정 전체를 가져온 뒤 필요한 항목을 찾는 경로가 남아 있습니다.</w:t>
      </w:r>
    </w:p>
    <w:p>
      <w:pPr>
        <w:pStyle w:val="ListNumber"/>
        <w:numPr>
          <w:ilvl w:val="0"/>
          <w:numId w:val="11"/>
        </w:numPr>
        <w:spacing w:after="140" w:line="264" w:lineRule="auto"/>
      </w:pPr>
      <w:r>
        <w:rPr>
          <w:rFonts w:ascii="맑은 고딕" w:hAnsi="맑은 고딕" w:eastAsia="맑은 고딕"/>
          <w:b/>
          <w:color w:val="17365D"/>
          <w:sz w:val="20"/>
        </w:rPr>
        <w:t>동일 데이터 반복 조회</w:t>
      </w:r>
      <w:r>
        <w:rPr>
          <w:rFonts w:ascii="맑은 고딕" w:hAnsi="맑은 고딕" w:eastAsia="맑은 고딕"/>
          <w:color w:val="111111"/>
          <w:sz w:val="20"/>
        </w:rPr>
        <w:t xml:space="preserve">  여러 사용자가 같은 교육과정을 보더라도 서버 공용 캐시 없이 DB에서 다시 읽습니다.</w:t>
      </w:r>
    </w:p>
    <w:p>
      <w:pPr>
        <w:pStyle w:val="ListNumber"/>
        <w:numPr>
          <w:ilvl w:val="0"/>
          <w:numId w:val="11"/>
        </w:numPr>
        <w:spacing w:after="140" w:line="264" w:lineRule="auto"/>
      </w:pPr>
      <w:r>
        <w:rPr>
          <w:rFonts w:ascii="맑은 고딕" w:hAnsi="맑은 고딕" w:eastAsia="맑은 고딕"/>
          <w:b/>
          <w:color w:val="17365D"/>
          <w:sz w:val="20"/>
        </w:rPr>
        <w:t>북마크 본문 일괄 전송</w:t>
      </w:r>
      <w:r>
        <w:rPr>
          <w:rFonts w:ascii="맑은 고딕" w:hAnsi="맑은 고딕" w:eastAsia="맑은 고딕"/>
          <w:color w:val="111111"/>
          <w:sz w:val="20"/>
        </w:rPr>
        <w:t xml:space="preserve">  북마크 목록을 열 때 답변 본문 전체를 페이지 구분 없이 반환합니다.</w:t>
      </w:r>
    </w:p>
    <w:p>
      <w:pPr>
        <w:pStyle w:val="ListNumber"/>
        <w:numPr>
          <w:ilvl w:val="0"/>
          <w:numId w:val="11"/>
        </w:numPr>
        <w:spacing w:after="140" w:line="264" w:lineRule="auto"/>
      </w:pPr>
      <w:r>
        <w:rPr>
          <w:rFonts w:ascii="맑은 고딕" w:hAnsi="맑은 고딕" w:eastAsia="맑은 고딕"/>
          <w:b/>
          <w:color w:val="17365D"/>
          <w:sz w:val="20"/>
        </w:rPr>
        <w:t>질문 한 건당 다수의 DB 접근</w:t>
      </w:r>
      <w:r>
        <w:rPr>
          <w:rFonts w:ascii="맑은 고딕" w:hAnsi="맑은 고딕" w:eastAsia="맑은 고딕"/>
          <w:color w:val="111111"/>
          <w:sz w:val="20"/>
        </w:rPr>
        <w:t xml:space="preserve">  로그인 확인, 사용량 확인, 학습 단원 확인, 기록 저장 등이 연쇄적으로 실행됩니다.</w:t>
      </w:r>
    </w:p>
    <w:p>
      <w:pPr>
        <w:pStyle w:val="ListNumber"/>
        <w:numPr>
          <w:ilvl w:val="0"/>
          <w:numId w:val="11"/>
        </w:numPr>
        <w:spacing w:after="140" w:line="264" w:lineRule="auto"/>
      </w:pPr>
      <w:r>
        <w:rPr>
          <w:rFonts w:ascii="맑은 고딕" w:hAnsi="맑은 고딕" w:eastAsia="맑은 고딕"/>
          <w:b/>
          <w:color w:val="17365D"/>
          <w:sz w:val="20"/>
        </w:rPr>
        <w:t>사용량 제한과 이상 징후 감시 부족</w:t>
      </w:r>
      <w:r>
        <w:rPr>
          <w:rFonts w:ascii="맑은 고딕" w:hAnsi="맑은 고딕" w:eastAsia="맑은 고딕"/>
          <w:color w:val="111111"/>
          <w:sz w:val="20"/>
        </w:rPr>
        <w:t xml:space="preserve">  사용자·학교별 호출 제한 및 DB 전송량 경보가 충분하지 않아 급증을 조기에 차단하기 어렵습니다.</w:t>
      </w:r>
    </w:p>
    <w:p>
      <w:pPr>
        <w:spacing w:before="40" w:after="160" w:line="259" w:lineRule="auto"/>
        <w:shd w:fill="FFF4D6"/>
        <w:pBdr>
          <w:top w:val="single" w:sz="10" w:space="7" w:color="8A5A00"/>
          <w:left w:val="single" w:sz="10" w:space="7" w:color="8A5A00"/>
          <w:bottom w:val="single" w:sz="10" w:space="7" w:color="8A5A00"/>
          <w:right w:val="single" w:sz="10" w:space="7" w:color="8A5A00"/>
        </w:pBdr>
      </w:pPr>
      <w:r>
        <w:rPr>
          <w:rFonts w:ascii="맑은 고딕" w:hAnsi="맑은 고딕" w:eastAsia="맑은 고딕"/>
          <w:b/>
          <w:color w:val="8A5A00"/>
          <w:sz w:val="21"/>
        </w:rPr>
        <w:t xml:space="preserve">핵심 해석  </w:t>
      </w:r>
      <w:r>
        <w:rPr>
          <w:rFonts w:ascii="맑은 고딕" w:hAnsi="맑은 고딕" w:eastAsia="맑은 고딕"/>
          <w:b w:val="0"/>
          <w:color w:val="111111"/>
          <w:sz w:val="21"/>
        </w:rPr>
        <w:t>현재 문제는 사용자가 너무 많아서 생긴 용량 부족이라기보다, 한 번의 이용에도 필요 이상의 데이터를 여러 번 전달하는 구조에서 발생한 비용 효율 문제에 가깝습니다.</w:t>
      </w:r>
    </w:p>
    <w:p>
      <w:r>
        <w:br w:type="page"/>
      </w:r>
    </w:p>
    <w:p>
      <w:pPr>
        <w:pStyle w:val="Heading1"/>
        <w:keepNext/>
      </w:pPr>
      <w:r>
        <w:t>3. AI 그림 기능은 얼마나 영향을 주는가</w:t>
      </w:r>
    </w:p>
    <w:p>
      <w:pPr>
        <w:spacing w:before="40" w:after="160" w:line="259" w:lineRule="auto"/>
        <w:shd w:fill="EAF2F8"/>
        <w:pBdr>
          <w:top w:val="single" w:sz="10" w:space="7" w:color="2E74B5"/>
          <w:left w:val="single" w:sz="10" w:space="7" w:color="2E74B5"/>
          <w:bottom w:val="single" w:sz="10" w:space="7" w:color="2E74B5"/>
          <w:right w:val="single" w:sz="10" w:space="7" w:color="2E74B5"/>
        </w:pBdr>
      </w:pPr>
      <w:r>
        <w:rPr>
          <w:rFonts w:ascii="맑은 고딕" w:hAnsi="맑은 고딕" w:eastAsia="맑은 고딕"/>
          <w:b/>
          <w:color w:val="2E74B5"/>
          <w:sz w:val="21"/>
        </w:rPr>
        <w:t xml:space="preserve">판단  </w:t>
      </w:r>
      <w:r>
        <w:rPr>
          <w:rFonts w:ascii="맑은 고딕" w:hAnsi="맑은 고딕" w:eastAsia="맑은 고딕"/>
          <w:b w:val="0"/>
          <w:color w:val="111111"/>
          <w:sz w:val="21"/>
        </w:rPr>
        <w:t>그림 생성 자체는 이번 장애의 단독 원인으로 확인되지 않았지만, 그림이 포함된 답변을 북마크하는 경우에는 DB 트래픽을 크게 늘릴 수 있는 중요 위험 요인입니다.</w:t>
      </w:r>
    </w:p>
    <w:p>
      <w:pPr>
        <w:pStyle w:val="Heading2"/>
        <w:keepNext/>
      </w:pPr>
      <w:r>
        <w:t>현재 동작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3360"/>
        <w:gridCol w:w="3000"/>
      </w:tblGrid>
      <w:tr>
        <w:trPr>
          <w:tblHeader w:val="true"/>
        </w:trP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이용 상황</w:t>
            </w:r>
          </w:p>
        </w:tc>
        <w:tc>
          <w:tcPr>
            <w:tcW w:type="dxa" w:w="3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현재 저장 위치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Neon DB 영향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그림을 생성하고 대화에서만 확인</w:t>
            </w:r>
          </w:p>
        </w:tc>
        <w:tc>
          <w:tcPr>
            <w:tcW w:type="dxa" w:w="3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사용자 브라우저 임시 저장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EAF5EF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낮음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그림 포함 답변을 북마크</w:t>
            </w:r>
          </w:p>
        </w:tc>
        <w:tc>
          <w:tcPr>
            <w:tcW w:type="dxa" w:w="3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답변 본문과 함께 DB 저장 가능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FDEBEC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높음</w:t>
            </w:r>
          </w:p>
        </w:tc>
      </w:tr>
      <w:tr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북마크 목록을 반복 조회</w:t>
            </w:r>
          </w:p>
        </w:tc>
        <w:tc>
          <w:tcPr>
            <w:tcW w:type="dxa" w:w="3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저장된 큰 본문을 다시 전송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FDEBEC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누적 위험 높음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왜 이미지가 특히 큰가</w:t>
      </w:r>
    </w:p>
    <w:p>
      <w:pPr>
        <w:pStyle w:val="ListBullet"/>
        <w:spacing w:after="100" w:line="264" w:lineRule="auto"/>
      </w:pPr>
      <w:r>
        <w:rPr>
          <w:rFonts w:ascii="맑은 고딕" w:hAnsi="맑은 고딕" w:eastAsia="맑은 고딕"/>
          <w:color w:val="111111"/>
          <w:sz w:val="20"/>
        </w:rPr>
        <w:t>이미지를 문자 형태(base64)로 저장하면 원본보다 약 33% 커질 수 있습니다.</w:t>
      </w:r>
    </w:p>
    <w:p>
      <w:pPr>
        <w:pStyle w:val="ListBullet"/>
        <w:spacing w:after="100" w:line="264" w:lineRule="auto"/>
      </w:pPr>
      <w:r>
        <w:rPr>
          <w:rFonts w:ascii="맑은 고딕" w:hAnsi="맑은 고딕" w:eastAsia="맑은 고딕"/>
          <w:color w:val="111111"/>
          <w:sz w:val="20"/>
        </w:rPr>
        <w:t>예를 들어 1 MB 이미지는 DB에서 약 1.33 MB 규모의 문자열이 될 수 있습니다.</w:t>
      </w:r>
    </w:p>
    <w:p>
      <w:pPr>
        <w:pStyle w:val="ListBullet"/>
        <w:spacing w:after="100" w:line="264" w:lineRule="auto"/>
      </w:pPr>
      <w:r>
        <w:rPr>
          <w:rFonts w:ascii="맑은 고딕" w:hAnsi="맑은 고딕" w:eastAsia="맑은 고딕"/>
          <w:color w:val="111111"/>
          <w:sz w:val="20"/>
        </w:rPr>
        <w:t>목록 조회 때 본문과 이미지가 함께 반환되면 클릭하지 않은 이미지까지 매번 전송됩니다.</w:t>
      </w:r>
    </w:p>
    <w:p>
      <w:pPr>
        <w:pStyle w:val="Heading2"/>
        <w:keepNext/>
      </w:pPr>
      <w:r>
        <w:t>개선 후 구조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4380"/>
        <w:gridCol w:w="288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구분</w:t>
            </w:r>
          </w:p>
        </w:tc>
        <w:tc>
          <w:tcPr>
            <w:tcW w:type="dxa" w:w="438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개선 방향</w:t>
            </w:r>
          </w:p>
        </w:tc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기대 효과</w:t>
            </w:r>
          </w:p>
        </w:tc>
      </w:tr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이미지 파일</w:t>
            </w:r>
          </w:p>
        </w:tc>
        <w:tc>
          <w:tcPr>
            <w:tcW w:type="dxa" w:w="438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Vercel Blob 등 파일 전용 저장소에 보관</w:t>
            </w:r>
          </w:p>
        </w:tc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DB 트래픽 분리</w:t>
            </w:r>
          </w:p>
        </w:tc>
      </w:tr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DB 저장</w:t>
            </w:r>
          </w:p>
        </w:tc>
        <w:tc>
          <w:tcPr>
            <w:tcW w:type="dxa" w:w="438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이미지 주소와 기본 정보만 저장</w:t>
            </w:r>
          </w:p>
        </w:tc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레코드 경량화</w:t>
            </w:r>
          </w:p>
        </w:tc>
      </w:tr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북마크 목록</w:t>
            </w:r>
          </w:p>
        </w:tc>
        <w:tc>
          <w:tcPr>
            <w:tcW w:type="dxa" w:w="438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제목·날짜·미리보기만 전송</w:t>
            </w:r>
          </w:p>
        </w:tc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반복 전송 최소화</w:t>
            </w:r>
          </w:p>
        </w:tc>
      </w:tr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상세 보기</w:t>
            </w:r>
          </w:p>
        </w:tc>
        <w:tc>
          <w:tcPr>
            <w:tcW w:type="dxa" w:w="438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사용자가 선택한 한 건만 본문 조회</w:t>
            </w:r>
          </w:p>
        </w:tc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8"/>
              </w:rPr>
              <w:t>실사용만 비용 발생</w:t>
            </w:r>
          </w:p>
        </w:tc>
      </w:tr>
    </w:tbl>
    <w:p>
      <w:pPr>
        <w:spacing w:after="20"/>
      </w:pPr>
    </w:p>
    <w:p>
      <w:pPr>
        <w:spacing w:before="60" w:after="0" w:line="264" w:lineRule="auto"/>
        <w:jc w:val="left"/>
      </w:pPr>
      <w:r>
        <w:rPr>
          <w:rFonts w:ascii="맑은 고딕" w:hAnsi="맑은 고딕" w:eastAsia="맑은 고딕"/>
          <w:b w:val="0"/>
          <w:color w:val="5F6B76"/>
          <w:sz w:val="17"/>
        </w:rPr>
        <w:t>참고: 과거 코드 이력상 교육과정 전체 응답이 약 4.60 MB였던 시점이 있습니다. 같은 크기의 조회가 약 1,100회 발생하면 5 GB에 근접합니다. 이는 원인을 이해하기 위한 계산 예시이며, 복구 후 실제 운영 로그로 다시 확인해야 합니다.</w:t>
      </w:r>
    </w:p>
    <w:p>
      <w:r>
        <w:br w:type="page"/>
      </w:r>
    </w:p>
    <w:p>
      <w:pPr>
        <w:pStyle w:val="Heading1"/>
        <w:keepNext/>
      </w:pPr>
      <w:r>
        <w:t>4. 권고 실행안</w:t>
      </w:r>
    </w:p>
    <w:p>
      <w:pPr>
        <w:spacing w:before="0" w:after="160" w:line="264" w:lineRule="auto"/>
        <w:jc w:val="left"/>
      </w:pPr>
      <w:r>
        <w:rPr>
          <w:rFonts w:ascii="맑은 고딕" w:hAnsi="맑은 고딕" w:eastAsia="맑은 고딕"/>
          <w:b w:val="0"/>
          <w:color w:val="111111"/>
          <w:sz w:val="21"/>
        </w:rPr>
        <w:t>서비스 복구와 구조 개선을 분리하지 않고, 아래 순서로 진행하는 것이 가장 안전합니다.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1450"/>
        <w:gridCol w:w="4110"/>
        <w:gridCol w:w="230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단계</w:t>
            </w:r>
          </w:p>
        </w:tc>
        <w:tc>
          <w:tcPr>
            <w:tcW w:type="dxa" w:w="145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시기</w:t>
            </w:r>
          </w:p>
        </w:tc>
        <w:tc>
          <w:tcPr>
            <w:tcW w:type="dxa" w:w="411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핵심 조치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완료 기준</w:t>
            </w:r>
          </w:p>
        </w:tc>
      </w:tr>
      <w:t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FDEBEC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17365D"/>
                <w:sz w:val="17"/>
              </w:rPr>
              <w:t>0단계</w:t>
              <w:br/>
              <w:t>긴급 복구</w:t>
            </w:r>
          </w:p>
        </w:tc>
        <w:tc>
          <w:tcPr>
            <w:tcW w:type="dxa" w:w="145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즉시~2일</w:t>
            </w:r>
          </w:p>
        </w:tc>
        <w:tc>
          <w:tcPr>
            <w:tcW w:type="dxa" w:w="411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Neon 유료 전환, 장애 복구, 사용량 계측 시작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로그인 정상화·원인 지표 확보</w:t>
            </w:r>
          </w:p>
        </w:tc>
      </w:tr>
      <w:t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FFF4D6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17365D"/>
                <w:sz w:val="17"/>
              </w:rPr>
              <w:t>1단계</w:t>
              <w:br/>
              <w:t>핵심 최적화</w:t>
            </w:r>
          </w:p>
        </w:tc>
        <w:tc>
          <w:tcPr>
            <w:tcW w:type="dxa" w:w="145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3~7일</w:t>
            </w:r>
          </w:p>
        </w:tc>
        <w:tc>
          <w:tcPr>
            <w:tcW w:type="dxa" w:w="411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단일 단원 조회, 서버 캐시, 북마크 경량화, 이미지 분리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반복 조회와 대용량 전송 급감</w:t>
            </w:r>
          </w:p>
        </w:tc>
      </w:tr>
      <w:t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EAF5EF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17365D"/>
                <w:sz w:val="17"/>
              </w:rPr>
              <w:t>2단계</w:t>
              <w:br/>
              <w:t>확장 기반</w:t>
            </w:r>
          </w:p>
        </w:tc>
        <w:tc>
          <w:tcPr>
            <w:tcW w:type="dxa" w:w="145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2~4주</w:t>
            </w:r>
          </w:p>
        </w:tc>
        <w:tc>
          <w:tcPr>
            <w:tcW w:type="dxa" w:w="411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인덱스, 학교 구분 로그인, 호출 제한, 모니터링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다학교 운영에 필요한 안전장치 확보</w:t>
            </w:r>
          </w:p>
        </w:tc>
      </w:tr>
      <w:t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F4F8FC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17365D"/>
                <w:sz w:val="17"/>
              </w:rPr>
              <w:t>3단계</w:t>
              <w:br/>
              <w:t>확장 검증</w:t>
            </w:r>
          </w:p>
        </w:tc>
        <w:tc>
          <w:tcPr>
            <w:tcW w:type="dxa" w:w="145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도입 전</w:t>
            </w:r>
          </w:p>
        </w:tc>
        <w:tc>
          <w:tcPr>
            <w:tcW w:type="dxa" w:w="411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학교·20개교·전국 가정 부하 테스트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속도·안정성·월 비용 기준 통과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우선순위 1: 전송량 자체를 줄인다</w:t>
      </w:r>
    </w:p>
    <w:p>
      <w:pPr>
        <w:pStyle w:val="ListBullet"/>
        <w:spacing w:after="100" w:line="264" w:lineRule="auto"/>
      </w:pPr>
      <w:r>
        <w:rPr>
          <w:rFonts w:ascii="맑은 고딕" w:hAnsi="맑은 고딕" w:eastAsia="맑은 고딕"/>
          <w:color w:val="111111"/>
          <w:sz w:val="20"/>
        </w:rPr>
        <w:t>전체 교육과정 대신 현재 필요한 단원 한 건만 조회</w:t>
      </w:r>
    </w:p>
    <w:p>
      <w:pPr>
        <w:pStyle w:val="ListBullet"/>
        <w:spacing w:after="100" w:line="264" w:lineRule="auto"/>
      </w:pPr>
      <w:r>
        <w:rPr>
          <w:rFonts w:ascii="맑은 고딕" w:hAnsi="맑은 고딕" w:eastAsia="맑은 고딕"/>
          <w:color w:val="111111"/>
          <w:sz w:val="20"/>
        </w:rPr>
        <w:t>동일한 공개 교육과정은 서버에서 공유 캐시</w:t>
      </w:r>
    </w:p>
    <w:p>
      <w:pPr>
        <w:pStyle w:val="ListBullet"/>
        <w:spacing w:after="100" w:line="264" w:lineRule="auto"/>
      </w:pPr>
      <w:r>
        <w:rPr>
          <w:rFonts w:ascii="맑은 고딕" w:hAnsi="맑은 고딕" w:eastAsia="맑은 고딕"/>
          <w:color w:val="111111"/>
          <w:sz w:val="20"/>
        </w:rPr>
        <w:t>북마크 목록과 상세 본문을 분리하고 페이지 단위로 제공</w:t>
      </w:r>
    </w:p>
    <w:p>
      <w:pPr>
        <w:pStyle w:val="Heading2"/>
        <w:keepNext/>
      </w:pPr>
      <w:r>
        <w:t>우선순위 2: 이미지와 대용량 콘텐츠를 분리한다</w:t>
      </w:r>
    </w:p>
    <w:p>
      <w:pPr>
        <w:pStyle w:val="ListBullet"/>
        <w:spacing w:after="100" w:line="264" w:lineRule="auto"/>
      </w:pPr>
      <w:r>
        <w:rPr>
          <w:rFonts w:ascii="맑은 고딕" w:hAnsi="맑은 고딕" w:eastAsia="맑은 고딕"/>
          <w:color w:val="111111"/>
          <w:sz w:val="20"/>
        </w:rPr>
        <w:t>DB에는 파일 자체가 아니라 주소·크기·생성일 등 관리 정보만 저장</w:t>
      </w:r>
    </w:p>
    <w:p>
      <w:pPr>
        <w:pStyle w:val="ListBullet"/>
        <w:spacing w:after="100" w:line="264" w:lineRule="auto"/>
      </w:pPr>
      <w:r>
        <w:rPr>
          <w:rFonts w:ascii="맑은 고딕" w:hAnsi="맑은 고딕" w:eastAsia="맑은 고딕"/>
          <w:color w:val="111111"/>
          <w:sz w:val="20"/>
        </w:rPr>
        <w:t>기존 base64 이미지 데이터가 있다면 파일 저장소로 일괄 이전</w:t>
      </w:r>
    </w:p>
    <w:p>
      <w:pPr>
        <w:pStyle w:val="Heading2"/>
        <w:keepNext/>
      </w:pPr>
      <w:r>
        <w:t>우선순위 3: 확장 전에 통제 체계를 만든다</w:t>
      </w:r>
    </w:p>
    <w:p>
      <w:pPr>
        <w:pStyle w:val="ListBullet"/>
        <w:spacing w:after="100" w:line="264" w:lineRule="auto"/>
      </w:pPr>
      <w:r>
        <w:rPr>
          <w:rFonts w:ascii="맑은 고딕" w:hAnsi="맑은 고딕" w:eastAsia="맑은 고딕"/>
          <w:color w:val="111111"/>
          <w:sz w:val="20"/>
        </w:rPr>
        <w:t>학생·학교별 질문 횟수와 이미지 생성량 제한</w:t>
      </w:r>
    </w:p>
    <w:p>
      <w:pPr>
        <w:pStyle w:val="ListBullet"/>
        <w:spacing w:after="100" w:line="264" w:lineRule="auto"/>
      </w:pPr>
      <w:r>
        <w:rPr>
          <w:rFonts w:ascii="맑은 고딕" w:hAnsi="맑은 고딕" w:eastAsia="맑은 고딕"/>
          <w:color w:val="111111"/>
          <w:sz w:val="20"/>
        </w:rPr>
        <w:t>전송량·오류율·응답속도·학교별 비용 대시보드 및 경보</w:t>
      </w:r>
    </w:p>
    <w:p>
      <w:pPr>
        <w:pStyle w:val="ListBullet"/>
        <w:spacing w:after="100" w:line="264" w:lineRule="auto"/>
      </w:pPr>
      <w:r>
        <w:rPr>
          <w:rFonts w:ascii="맑은 고딕" w:hAnsi="맑은 고딕" w:eastAsia="맑은 고딕"/>
          <w:color w:val="111111"/>
          <w:sz w:val="20"/>
        </w:rPr>
        <w:t>학교를 명시하는 로그인 방식과 학교별 데이터 분리 강화</w:t>
      </w:r>
    </w:p>
    <w:p>
      <w:r>
        <w:br w:type="page"/>
      </w:r>
    </w:p>
    <w:p>
      <w:pPr>
        <w:pStyle w:val="Heading1"/>
        <w:keepNext/>
      </w:pPr>
      <w:r>
        <w:t>5. 서버 증설 및 교체 판단</w:t>
      </w:r>
    </w:p>
    <w:p>
      <w:pPr>
        <w:spacing w:before="40" w:after="160" w:line="259" w:lineRule="auto"/>
        <w:shd w:fill="EAF5EF"/>
        <w:pBdr>
          <w:top w:val="single" w:sz="10" w:space="7" w:color="1F6D4E"/>
          <w:left w:val="single" w:sz="10" w:space="7" w:color="1F6D4E"/>
          <w:bottom w:val="single" w:sz="10" w:space="7" w:color="1F6D4E"/>
          <w:right w:val="single" w:sz="10" w:space="7" w:color="1F6D4E"/>
        </w:pBdr>
      </w:pPr>
      <w:r>
        <w:rPr>
          <w:rFonts w:ascii="맑은 고딕" w:hAnsi="맑은 고딕" w:eastAsia="맑은 고딕"/>
          <w:b/>
          <w:color w:val="1F6D4E"/>
          <w:sz w:val="21"/>
        </w:rPr>
        <w:t xml:space="preserve">권고안  </w:t>
      </w:r>
      <w:r>
        <w:rPr>
          <w:rFonts w:ascii="맑은 고딕" w:hAnsi="맑은 고딕" w:eastAsia="맑은 고딕"/>
          <w:b w:val="0"/>
          <w:color w:val="111111"/>
          <w:sz w:val="21"/>
        </w:rPr>
        <w:t>현 단계에서는 Neon과 Vercel을 유지하되 유료 운영 환경으로 전환하고, 최적화 후 실제 수치를 기준으로 상위 플랜 또는 교체를 판단합니다.</w:t>
      </w:r>
    </w:p>
    <w:p>
      <w:pPr>
        <w:pStyle w:val="Heading2"/>
        <w:keepNext/>
      </w:pPr>
      <w:r>
        <w:t>왜 지금 바로 교체하지 않는가</w:t>
      </w:r>
    </w:p>
    <w:p>
      <w:pPr>
        <w:pStyle w:val="ListBullet"/>
        <w:spacing w:after="100" w:line="264" w:lineRule="auto"/>
      </w:pPr>
      <w:r>
        <w:rPr>
          <w:rFonts w:ascii="맑은 고딕" w:hAnsi="맑은 고딕" w:eastAsia="맑은 고딕"/>
          <w:color w:val="111111"/>
          <w:sz w:val="20"/>
        </w:rPr>
        <w:t>이번 장애는 Neon의 성능 한계보다 무료 요금제의 전송 한도와 비효율적인 조회 구조가 결합된 결과입니다.</w:t>
      </w:r>
    </w:p>
    <w:p>
      <w:pPr>
        <w:pStyle w:val="ListBullet"/>
        <w:spacing w:after="100" w:line="264" w:lineRule="auto"/>
      </w:pPr>
      <w:r>
        <w:rPr>
          <w:rFonts w:ascii="맑은 고딕" w:hAnsi="맑은 고딕" w:eastAsia="맑은 고딕"/>
          <w:color w:val="111111"/>
          <w:sz w:val="20"/>
        </w:rPr>
        <w:t>서비스를 다른 DB로 옮겨도 큰 데이터를 반복 전송하는 구조가 남아 있으면 비용과 장애 위험이 다시 발생합니다.</w:t>
      </w:r>
    </w:p>
    <w:p>
      <w:pPr>
        <w:pStyle w:val="ListBullet"/>
        <w:spacing w:after="100" w:line="264" w:lineRule="auto"/>
      </w:pPr>
      <w:r>
        <w:rPr>
          <w:rFonts w:ascii="맑은 고딕" w:hAnsi="맑은 고딕" w:eastAsia="맑은 고딕"/>
          <w:color w:val="111111"/>
          <w:sz w:val="20"/>
        </w:rPr>
        <w:t>최적화 이후에는 같은 이용자 수를 훨씬 적은 인프라 비용으로 수용할 수 있습니다.</w:t>
      </w:r>
    </w:p>
    <w:p>
      <w:pPr>
        <w:pStyle w:val="Heading2"/>
        <w:keepNext/>
      </w:pPr>
      <w:r>
        <w:t>권장 운영 방향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2900"/>
        <w:gridCol w:w="4710"/>
      </w:tblGrid>
      <w:tr>
        <w:trPr>
          <w:tblHeader w:val="true"/>
        </w:trPr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구분</w:t>
            </w:r>
          </w:p>
        </w:tc>
        <w:tc>
          <w:tcPr>
            <w:tcW w:type="dxa" w:w="2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현재 권장</w:t>
            </w:r>
          </w:p>
        </w:tc>
        <w:tc>
          <w:tcPr>
            <w:tcW w:type="dxa" w:w="471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추가 검토 시점</w:t>
            </w:r>
          </w:p>
        </w:tc>
      </w:tr>
      <w:tr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17365D"/>
                <w:sz w:val="17"/>
              </w:rPr>
              <w:t>Neon DB</w:t>
            </w:r>
          </w:p>
        </w:tc>
        <w:tc>
          <w:tcPr>
            <w:tcW w:type="dxa" w:w="2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유료 플랜으로 복구·운영</w:t>
            </w:r>
          </w:p>
        </w:tc>
        <w:tc>
          <w:tcPr>
            <w:tcW w:type="dxa" w:w="471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최적화 후에도 전송·동시접속이 지속적으로 임계치 초과</w:t>
            </w:r>
          </w:p>
        </w:tc>
      </w:tr>
      <w:tr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17365D"/>
                <w:sz w:val="17"/>
              </w:rPr>
              <w:t>Vercel</w:t>
            </w:r>
          </w:p>
        </w:tc>
        <w:tc>
          <w:tcPr>
            <w:tcW w:type="dxa" w:w="2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학교 대상 서비스는 Pro 검토</w:t>
            </w:r>
          </w:p>
        </w:tc>
        <w:tc>
          <w:tcPr>
            <w:tcW w:type="dxa" w:w="471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함수 사용량·로그 보관·보안 기능 요구 증가</w:t>
            </w:r>
          </w:p>
        </w:tc>
      </w:tr>
      <w:tr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17365D"/>
                <w:sz w:val="17"/>
              </w:rPr>
              <w:t>이미지 저장</w:t>
            </w:r>
          </w:p>
        </w:tc>
        <w:tc>
          <w:tcPr>
            <w:tcW w:type="dxa" w:w="2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Vercel Blob 또는 동급 파일 저장소</w:t>
            </w:r>
          </w:p>
        </w:tc>
        <w:tc>
          <w:tcPr>
            <w:tcW w:type="dxa" w:w="471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월 이미지 용량과 전달 비용이 별도 임계치 초과</w:t>
            </w:r>
          </w:p>
        </w:tc>
      </w:tr>
      <w:tr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17365D"/>
                <w:sz w:val="17"/>
              </w:rPr>
              <w:t>서비스 교체</w:t>
            </w:r>
          </w:p>
        </w:tc>
        <w:tc>
          <w:tcPr>
            <w:tcW w:type="dxa" w:w="29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현시점 보류</w:t>
            </w:r>
          </w:p>
        </w:tc>
        <w:tc>
          <w:tcPr>
            <w:tcW w:type="dxa" w:w="471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측정 자료로 비용·성능·지원 수준이 불리함이 확인될 때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비용 관리 원칙</w:t>
      </w:r>
    </w:p>
    <w:p>
      <w:pPr>
        <w:pStyle w:val="ListNumber"/>
        <w:numPr>
          <w:ilvl w:val="0"/>
          <w:numId w:val="12"/>
        </w:numPr>
        <w:spacing w:after="140" w:line="264" w:lineRule="auto"/>
      </w:pPr>
      <w:r>
        <w:rPr>
          <w:rFonts w:ascii="맑은 고딕" w:hAnsi="맑은 고딕" w:eastAsia="맑은 고딕"/>
          <w:b/>
          <w:color w:val="17365D"/>
          <w:sz w:val="20"/>
        </w:rPr>
        <w:t>학생 1명당 비용</w:t>
      </w:r>
      <w:r>
        <w:rPr>
          <w:rFonts w:ascii="맑은 고딕" w:hAnsi="맑은 고딕" w:eastAsia="맑은 고딕"/>
          <w:color w:val="111111"/>
          <w:sz w:val="20"/>
        </w:rPr>
        <w:t xml:space="preserve">  학교별 월간 DB·AI·이미지 비용을 활성 학생 수로 나누어 관리합니다.</w:t>
      </w:r>
    </w:p>
    <w:p>
      <w:pPr>
        <w:pStyle w:val="ListNumber"/>
        <w:numPr>
          <w:ilvl w:val="0"/>
          <w:numId w:val="12"/>
        </w:numPr>
        <w:spacing w:after="140" w:line="264" w:lineRule="auto"/>
      </w:pPr>
      <w:r>
        <w:rPr>
          <w:rFonts w:ascii="맑은 고딕" w:hAnsi="맑은 고딕" w:eastAsia="맑은 고딕"/>
          <w:b/>
          <w:color w:val="17365D"/>
          <w:sz w:val="20"/>
        </w:rPr>
        <w:t>기능별 예산</w:t>
      </w:r>
      <w:r>
        <w:rPr>
          <w:rFonts w:ascii="맑은 고딕" w:hAnsi="맑은 고딕" w:eastAsia="맑은 고딕"/>
          <w:color w:val="111111"/>
          <w:sz w:val="20"/>
        </w:rPr>
        <w:t xml:space="preserve">  텍스트 질문과 이미지 생성에 각각 이용 한도와 경보를 설정합니다.</w:t>
      </w:r>
    </w:p>
    <w:p>
      <w:pPr>
        <w:pStyle w:val="ListNumber"/>
        <w:numPr>
          <w:ilvl w:val="0"/>
          <w:numId w:val="12"/>
        </w:numPr>
        <w:spacing w:after="140" w:line="264" w:lineRule="auto"/>
      </w:pPr>
      <w:r>
        <w:rPr>
          <w:rFonts w:ascii="맑은 고딕" w:hAnsi="맑은 고딕" w:eastAsia="맑은 고딕"/>
          <w:b/>
          <w:color w:val="17365D"/>
          <w:sz w:val="20"/>
        </w:rPr>
        <w:t>증설 기준</w:t>
      </w:r>
      <w:r>
        <w:rPr>
          <w:rFonts w:ascii="맑은 고딕" w:hAnsi="맑은 고딕" w:eastAsia="맑은 고딕"/>
          <w:color w:val="111111"/>
          <w:sz w:val="20"/>
        </w:rPr>
        <w:t xml:space="preserve">  감에 의존하지 않고 응답속도, 오류율, 전송량, 동시접속 지표가 기준을 넘을 때 증설합니다.</w:t>
      </w:r>
    </w:p>
    <w:p>
      <w:pPr>
        <w:spacing w:before="40" w:after="160" w:line="259" w:lineRule="auto"/>
        <w:shd w:fill="FFF4D6"/>
        <w:pBdr>
          <w:top w:val="single" w:sz="10" w:space="7" w:color="8A5A00"/>
          <w:left w:val="single" w:sz="10" w:space="7" w:color="8A5A00"/>
          <w:bottom w:val="single" w:sz="10" w:space="7" w:color="8A5A00"/>
          <w:right w:val="single" w:sz="10" w:space="7" w:color="8A5A00"/>
        </w:pBdr>
      </w:pPr>
      <w:r>
        <w:rPr>
          <w:rFonts w:ascii="맑은 고딕" w:hAnsi="맑은 고딕" w:eastAsia="맑은 고딕"/>
          <w:b/>
          <w:color w:val="8A5A00"/>
          <w:sz w:val="21"/>
        </w:rPr>
        <w:t xml:space="preserve">유의 사항  </w:t>
      </w:r>
      <w:r>
        <w:rPr>
          <w:rFonts w:ascii="맑은 고딕" w:hAnsi="맑은 고딕" w:eastAsia="맑은 고딕"/>
          <w:b w:val="0"/>
          <w:color w:val="111111"/>
          <w:sz w:val="21"/>
        </w:rPr>
        <w:t>유료 플랜 전환은 즉시 복구와 운영 여유를 위한 조치입니다. 구조 개선을 대신하는 해결책은 아니므로 두 작업을 함께 승인해야 합니다.</w:t>
      </w:r>
    </w:p>
    <w:p>
      <w:r>
        <w:br w:type="page"/>
      </w:r>
    </w:p>
    <w:p>
      <w:pPr>
        <w:pStyle w:val="Heading1"/>
        <w:keepNext/>
      </w:pPr>
      <w:r>
        <w:t>6. 확장 전 관리 기준</w:t>
      </w:r>
    </w:p>
    <w:p>
      <w:pPr>
        <w:spacing w:before="0" w:after="160" w:line="264" w:lineRule="auto"/>
        <w:jc w:val="left"/>
      </w:pPr>
      <w:r>
        <w:rPr>
          <w:rFonts w:ascii="맑은 고딕" w:hAnsi="맑은 고딕" w:eastAsia="맑은 고딕"/>
          <w:b w:val="0"/>
          <w:color w:val="111111"/>
          <w:sz w:val="21"/>
        </w:rPr>
        <w:t>다음 지표를 학교 단위로 확인해야 대전 및 전국 확장 시 비용과 장애를 예측할 수 있습니다.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3700"/>
        <w:gridCol w:w="336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관리 지표</w:t>
            </w:r>
          </w:p>
        </w:tc>
        <w:tc>
          <w:tcPr>
            <w:tcW w:type="dxa" w:w="37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의미</w:t>
            </w:r>
          </w:p>
        </w:tc>
        <w:tc>
          <w:tcPr>
            <w:tcW w:type="dxa" w:w="3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  <w:shd w:fill="EAF2F8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>초기 목표</w:t>
            </w:r>
          </w:p>
        </w:tc>
      </w:tr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17365D"/>
                <w:sz w:val="17"/>
              </w:rPr>
              <w:t>서비스 가용성</w:t>
            </w:r>
          </w:p>
        </w:tc>
        <w:tc>
          <w:tcPr>
            <w:tcW w:type="dxa" w:w="37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수업 중 정상 이용 가능 비율</w:t>
            </w:r>
          </w:p>
        </w:tc>
        <w:tc>
          <w:tcPr>
            <w:tcW w:type="dxa" w:w="3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99.9% 이상</w:t>
            </w:r>
          </w:p>
        </w:tc>
      </w:tr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17365D"/>
                <w:sz w:val="17"/>
              </w:rPr>
              <w:t>오류율</w:t>
            </w:r>
          </w:p>
        </w:tc>
        <w:tc>
          <w:tcPr>
            <w:tcW w:type="dxa" w:w="37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로그인·질문·북마크 실패 비율</w:t>
            </w:r>
          </w:p>
        </w:tc>
        <w:tc>
          <w:tcPr>
            <w:tcW w:type="dxa" w:w="3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1% 미만</w:t>
            </w:r>
          </w:p>
        </w:tc>
      </w:tr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17365D"/>
                <w:sz w:val="17"/>
              </w:rPr>
              <w:t>응답속도</w:t>
            </w:r>
          </w:p>
        </w:tc>
        <w:tc>
          <w:tcPr>
            <w:tcW w:type="dxa" w:w="37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대부분 사용자의 화면 응답 시간</w:t>
            </w:r>
          </w:p>
        </w:tc>
        <w:tc>
          <w:tcPr>
            <w:tcW w:type="dxa" w:w="3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최적화 전후 비교 후 기준 확정</w:t>
            </w:r>
          </w:p>
        </w:tc>
      </w:tr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17365D"/>
                <w:sz w:val="17"/>
              </w:rPr>
              <w:t>학생당 DB 전송량</w:t>
            </w:r>
          </w:p>
        </w:tc>
        <w:tc>
          <w:tcPr>
            <w:tcW w:type="dxa" w:w="37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규모 증가에 따른 비용 예측 기준</w:t>
            </w:r>
          </w:p>
        </w:tc>
        <w:tc>
          <w:tcPr>
            <w:tcW w:type="dxa" w:w="3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학교별 월 추세 관리</w:t>
            </w:r>
          </w:p>
        </w:tc>
      </w:tr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17365D"/>
                <w:sz w:val="17"/>
              </w:rPr>
              <w:t>캐시 적중률</w:t>
            </w:r>
          </w:p>
        </w:tc>
        <w:tc>
          <w:tcPr>
            <w:tcW w:type="dxa" w:w="37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DB를 재조회하지 않고 제공한 비율</w:t>
            </w:r>
          </w:p>
        </w:tc>
        <w:tc>
          <w:tcPr>
            <w:tcW w:type="dxa" w:w="3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공개 교육과정 80% 이상 목표</w:t>
            </w:r>
          </w:p>
        </w:tc>
      </w:tr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/>
                <w:color w:val="17365D"/>
                <w:sz w:val="17"/>
              </w:rPr>
              <w:t>이미지 저장량</w:t>
            </w:r>
          </w:p>
        </w:tc>
        <w:tc>
          <w:tcPr>
            <w:tcW w:type="dxa" w:w="37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파일 저장 및 전달 비용</w:t>
            </w:r>
          </w:p>
        </w:tc>
        <w:tc>
          <w:tcPr>
            <w:tcW w:type="dxa" w:w="3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8DEE6"/>
              <w:start w:val="single" w:sz="6" w:space="0" w:color="D8DEE6"/>
              <w:bottom w:val="single" w:sz="6" w:space="0" w:color="D8DEE6"/>
              <w:end w:val="single" w:sz="6" w:space="0" w:color="D8DEE6"/>
              <w:insideH w:val="single" w:sz="6" w:space="0" w:color="D8DEE6"/>
              <w:insideV w:val="single" w:sz="6" w:space="0" w:color="D8DEE6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111111"/>
                <w:sz w:val="17"/>
              </w:rPr>
              <w:t>학교별 예산·경보 설정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최종 승인 요청</w:t>
      </w:r>
    </w:p>
    <w:p>
      <w:pPr>
        <w:spacing w:before="0" w:after="120" w:line="264" w:lineRule="auto"/>
        <w:ind w:left="72"/>
        <w:jc w:val="left"/>
      </w:pPr>
      <w:r>
        <w:rPr>
          <w:rFonts w:ascii="맑은 고딕" w:hAnsi="맑은 고딕" w:eastAsia="맑은 고딕"/>
          <w:b/>
          <w:color w:val="2E74B5"/>
          <w:sz w:val="20"/>
        </w:rPr>
        <w:t xml:space="preserve">1.  </w:t>
      </w:r>
      <w:r>
        <w:rPr>
          <w:rFonts w:ascii="맑은 고딕" w:hAnsi="맑은 고딕" w:eastAsia="맑은 고딕"/>
          <w:b/>
          <w:color w:val="17365D"/>
          <w:sz w:val="20"/>
        </w:rPr>
        <w:t>Neon 유료 플랜 전환</w:t>
      </w:r>
      <w:r>
        <w:rPr>
          <w:rFonts w:ascii="맑은 고딕" w:hAnsi="맑은 고딕" w:eastAsia="맑은 고딕"/>
          <w:b w:val="0"/>
          <w:color w:val="111111"/>
          <w:sz w:val="20"/>
        </w:rPr>
        <w:t xml:space="preserve">  -  서비스 즉시 복구와 운영 데이터 확보</w:t>
      </w:r>
    </w:p>
    <w:p>
      <w:pPr>
        <w:spacing w:before="0" w:after="120" w:line="264" w:lineRule="auto"/>
        <w:ind w:left="72"/>
        <w:jc w:val="left"/>
      </w:pPr>
      <w:r>
        <w:rPr>
          <w:rFonts w:ascii="맑은 고딕" w:hAnsi="맑은 고딕" w:eastAsia="맑은 고딕"/>
          <w:b/>
          <w:color w:val="2E74B5"/>
          <w:sz w:val="20"/>
        </w:rPr>
        <w:t xml:space="preserve">2.  </w:t>
      </w:r>
      <w:r>
        <w:rPr>
          <w:rFonts w:ascii="맑은 고딕" w:hAnsi="맑은 고딕" w:eastAsia="맑은 고딕"/>
          <w:b/>
          <w:color w:val="17365D"/>
          <w:sz w:val="20"/>
        </w:rPr>
        <w:t>핵심 최적화 작업 착수</w:t>
      </w:r>
      <w:r>
        <w:rPr>
          <w:rFonts w:ascii="맑은 고딕" w:hAnsi="맑은 고딕" w:eastAsia="맑은 고딕"/>
          <w:b w:val="0"/>
          <w:color w:val="111111"/>
          <w:sz w:val="20"/>
        </w:rPr>
        <w:t xml:space="preserve">  -  대용량·반복 전송 제거 및 재발 방지</w:t>
      </w:r>
    </w:p>
    <w:p>
      <w:pPr>
        <w:spacing w:before="0" w:after="120" w:line="264" w:lineRule="auto"/>
        <w:ind w:left="72"/>
        <w:jc w:val="left"/>
      </w:pPr>
      <w:r>
        <w:rPr>
          <w:rFonts w:ascii="맑은 고딕" w:hAnsi="맑은 고딕" w:eastAsia="맑은 고딕"/>
          <w:b/>
          <w:color w:val="2E74B5"/>
          <w:sz w:val="20"/>
        </w:rPr>
        <w:t xml:space="preserve">3.  </w:t>
      </w:r>
      <w:r>
        <w:rPr>
          <w:rFonts w:ascii="맑은 고딕" w:hAnsi="맑은 고딕" w:eastAsia="맑은 고딕"/>
          <w:b/>
          <w:color w:val="17365D"/>
          <w:sz w:val="20"/>
        </w:rPr>
        <w:t>Vercel Pro 전환 검토</w:t>
      </w:r>
      <w:r>
        <w:rPr>
          <w:rFonts w:ascii="맑은 고딕" w:hAnsi="맑은 고딕" w:eastAsia="맑은 고딕"/>
          <w:b w:val="0"/>
          <w:color w:val="111111"/>
          <w:sz w:val="20"/>
        </w:rPr>
        <w:t xml:space="preserve">  -  학교 대상 운영에 적합한 상업용 환경 확보</w:t>
      </w:r>
    </w:p>
    <w:p>
      <w:pPr>
        <w:spacing w:before="0" w:after="120" w:line="264" w:lineRule="auto"/>
        <w:ind w:left="72"/>
        <w:jc w:val="left"/>
      </w:pPr>
      <w:r>
        <w:rPr>
          <w:rFonts w:ascii="맑은 고딕" w:hAnsi="맑은 고딕" w:eastAsia="맑은 고딕"/>
          <w:b/>
          <w:color w:val="2E74B5"/>
          <w:sz w:val="20"/>
        </w:rPr>
        <w:t xml:space="preserve">4.  </w:t>
      </w:r>
      <w:r>
        <w:rPr>
          <w:rFonts w:ascii="맑은 고딕" w:hAnsi="맑은 고딕" w:eastAsia="맑은 고딕"/>
          <w:b/>
          <w:color w:val="17365D"/>
          <w:sz w:val="20"/>
        </w:rPr>
        <w:t>학교별 사용량 관리 정책 수립</w:t>
      </w:r>
      <w:r>
        <w:rPr>
          <w:rFonts w:ascii="맑은 고딕" w:hAnsi="맑은 고딕" w:eastAsia="맑은 고딕"/>
          <w:b w:val="0"/>
          <w:color w:val="111111"/>
          <w:sz w:val="20"/>
        </w:rPr>
        <w:t xml:space="preserve">  -  전국 확장 시 예산 통제와 공정한 이용 보장</w:t>
      </w:r>
    </w:p>
    <w:p>
      <w:pPr>
        <w:spacing w:before="0" w:after="120" w:line="264" w:lineRule="auto"/>
        <w:ind w:left="72"/>
        <w:jc w:val="left"/>
      </w:pPr>
      <w:r>
        <w:rPr>
          <w:rFonts w:ascii="맑은 고딕" w:hAnsi="맑은 고딕" w:eastAsia="맑은 고딕"/>
          <w:b/>
          <w:color w:val="2E74B5"/>
          <w:sz w:val="20"/>
        </w:rPr>
        <w:t xml:space="preserve">5.  </w:t>
      </w:r>
      <w:r>
        <w:rPr>
          <w:rFonts w:ascii="맑은 고딕" w:hAnsi="맑은 고딕" w:eastAsia="맑은 고딕"/>
          <w:b/>
          <w:color w:val="17365D"/>
          <w:sz w:val="20"/>
        </w:rPr>
        <w:t>확장 전 부하 테스트 의무화</w:t>
      </w:r>
      <w:r>
        <w:rPr>
          <w:rFonts w:ascii="맑은 고딕" w:hAnsi="맑은 고딕" w:eastAsia="맑은 고딕"/>
          <w:b w:val="0"/>
          <w:color w:val="111111"/>
          <w:sz w:val="20"/>
        </w:rPr>
        <w:t xml:space="preserve">  -  학교 추가 전 성능·비용·안정성 검증</w:t>
      </w:r>
    </w:p>
    <w:p>
      <w:pPr>
        <w:spacing w:before="40" w:after="160" w:line="259" w:lineRule="auto"/>
        <w:shd w:fill="EAF2F8"/>
        <w:pBdr>
          <w:top w:val="single" w:sz="10" w:space="7" w:color="2E74B5"/>
          <w:left w:val="single" w:sz="10" w:space="7" w:color="2E74B5"/>
          <w:bottom w:val="single" w:sz="10" w:space="7" w:color="2E74B5"/>
          <w:right w:val="single" w:sz="10" w:space="7" w:color="2E74B5"/>
        </w:pBdr>
      </w:pPr>
      <w:r>
        <w:rPr>
          <w:rFonts w:ascii="맑은 고딕" w:hAnsi="맑은 고딕" w:eastAsia="맑은 고딕"/>
          <w:b/>
          <w:color w:val="2E74B5"/>
          <w:sz w:val="21"/>
        </w:rPr>
        <w:t xml:space="preserve">최종 제안  </w:t>
      </w:r>
      <w:r>
        <w:rPr>
          <w:rFonts w:ascii="맑은 고딕" w:hAnsi="맑은 고딕" w:eastAsia="맑은 고딕"/>
          <w:b w:val="0"/>
          <w:color w:val="111111"/>
          <w:sz w:val="21"/>
        </w:rPr>
        <w:t>‘유료 전환으로 복구 → 1~2주 핵심 최적화 → 학교 단위 계측 → 단계적 확대’ 순서로 추진합니다. 이 방식이 서비스 중단 위험과 불필요한 인프라 지출을 동시에 줄일 수 있습니다.</w:t>
      </w:r>
    </w:p>
    <w:p>
      <w:pPr>
        <w:pStyle w:val="Heading2"/>
        <w:keepNext/>
      </w:pPr>
      <w:r>
        <w:t>근거 및 참고</w:t>
      </w:r>
    </w:p>
    <w:p>
      <w:pPr>
        <w:pStyle w:val="ListBullet"/>
        <w:spacing w:after="100" w:line="264" w:lineRule="auto"/>
      </w:pPr>
      <w:r>
        <w:rPr>
          <w:rFonts w:ascii="맑은 고딕" w:hAnsi="맑은 고딕" w:eastAsia="맑은 고딕"/>
          <w:color w:val="111111"/>
          <w:sz w:val="20"/>
        </w:rPr>
        <w:t>Neon 공식 안내: 무료 요금제 네트워크 전송 한도 초과 시 연결이 제한될 수 있음</w:t>
      </w:r>
    </w:p>
    <w:p>
      <w:pPr>
        <w:pStyle w:val="ListBullet"/>
        <w:spacing w:after="100" w:line="264" w:lineRule="auto"/>
      </w:pPr>
      <w:r>
        <w:rPr>
          <w:rFonts w:ascii="맑은 고딕" w:hAnsi="맑은 고딕" w:eastAsia="맑은 고딕"/>
          <w:color w:val="111111"/>
          <w:sz w:val="20"/>
        </w:rPr>
        <w:t>Vercel 공식 안내: Hobby는 개인·비상업 용도이며, 학교 대상 서비스는 Pro 검토 필요</w:t>
      </w:r>
    </w:p>
    <w:p>
      <w:pPr>
        <w:pStyle w:val="ListBullet"/>
        <w:spacing w:after="100" w:line="264" w:lineRule="auto"/>
      </w:pPr>
      <w:r>
        <w:rPr>
          <w:rFonts w:ascii="맑은 고딕" w:hAnsi="맑은 고딕" w:eastAsia="맑은 고딕"/>
          <w:color w:val="111111"/>
          <w:sz w:val="20"/>
        </w:rPr>
        <w:t>상세 기술 근거: docs/traffic-scalability-audit-2026-09-12.md</w:t>
      </w:r>
    </w:p>
    <w:p>
      <w:pPr>
        <w:spacing w:before="40" w:after="0" w:line="264" w:lineRule="auto"/>
        <w:jc w:val="left"/>
      </w:pPr>
      <w:r>
        <w:rPr>
          <w:rFonts w:ascii="맑은 고딕" w:hAnsi="맑은 고딕" w:eastAsia="맑은 고딕"/>
          <w:b w:val="0"/>
          <w:color w:val="5F6B76"/>
          <w:sz w:val="16"/>
        </w:rPr>
        <w:t>공식 자료: https://neon.com/docs/introduction/network-transfer  |  https://vercel.com/docs/plans/hobby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맑은 고딕" w:hAnsi="맑은 고딕" w:eastAsia="맑은 고딕"/>
        <w:color w:val="5F6B76"/>
        <w:sz w:val="16"/>
      </w:rPr>
      <w:t xml:space="preserve">내부 검토용  ·  </w:t>
    </w:r>
    <w:r>
      <w:rPr>
        <w:rFonts w:ascii="맑은 고딕" w:hAnsi="맑은 고딕" w:eastAsia="맑은 고딕"/>
        <w:color w:val="5F6B76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맑은 고딕" w:hAnsi="맑은 고딕" w:eastAsia="맑은 고딕"/>
        <w:color w:val="5F6B76"/>
        <w:sz w:val="16"/>
      </w:rPr>
      <w:t xml:space="preserve"> / </w:t>
    </w:r>
    <w:r>
      <w:rPr>
        <w:rFonts w:ascii="맑은 고딕" w:hAnsi="맑은 고딕" w:eastAsia="맑은 고딕"/>
        <w:color w:val="5F6B76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맑은 고딕" w:hAnsi="맑은 고딕" w:eastAsia="맑은 고딕"/>
        <w:color w:val="5F6B76"/>
        <w:sz w:val="16"/>
      </w:rPr>
      <w:t xml:space="preserve">내부 검토용  ·  </w:t>
    </w:r>
    <w:r>
      <w:rPr>
        <w:rFonts w:ascii="맑은 고딕" w:hAnsi="맑은 고딕" w:eastAsia="맑은 고딕"/>
        <w:color w:val="5F6B76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맑은 고딕" w:hAnsi="맑은 고딕" w:eastAsia="맑은 고딕"/>
        <w:color w:val="5F6B76"/>
        <w:sz w:val="16"/>
      </w:rPr>
      <w:t xml:space="preserve"> / </w:t>
    </w:r>
    <w:r>
      <w:rPr>
        <w:rFonts w:ascii="맑은 고딕" w:hAnsi="맑은 고딕" w:eastAsia="맑은 고딕"/>
        <w:color w:val="5F6B76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맑은 고딕" w:hAnsi="맑은 고딕" w:eastAsia="맑은 고딕"/>
        <w:b/>
        <w:color w:val="5F6B76"/>
        <w:sz w:val="16"/>
      </w:rPr>
      <w:t>LEARNCRAFT  |  서비스 안정화 보고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맑은 고딕" w:hAnsi="맑은 고딕" w:eastAsia="맑은 고딕"/>
        <w:b/>
        <w:color w:val="5F6B76"/>
        <w:sz w:val="16"/>
      </w:rPr>
      <w:t>LEARNCRAFT  |  서비스 안정화 보고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맑은 고딕" w:hAnsi="맑은 고딕" w:eastAsia="맑은 고딕"/>
      <w:b w:val="0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맑은 고딕" w:hAnsi="맑은 고딕" w:eastAsia="맑은 고딕"/>
      <w:b w:val="0"/>
      <w:color w:val="111111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64" w:lineRule="auto"/>
      <w:ind w:left="1080" w:hanging="360"/>
      <w:contextualSpacing/>
    </w:pPr>
    <w:rPr>
      <w:rFonts w:ascii="맑은 고딕" w:hAnsi="맑은 고딕" w:eastAsia="맑은 고딕"/>
      <w:b w:val="0"/>
      <w:color w:val="111111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맑은 고딕" w:hAnsi="맑은 고딕" w:eastAsia="맑은 고딕"/>
      <w:b w:val="0"/>
      <w:color w:val="111111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LearnCraft 서비스 안정화 및 확장 대응 보고</dc:title>
  <dc:subject>Neon DB 트래픽 장애 원인과 전국 학교 확장을 위한 개선안</dc:subject>
  <dc:creator>LearnCraft 프로젝트</dc:creator>
  <cp:keywords>LearnCraft, Neon DB, Vercel, 서비스 안정화, 확장</cp:keywords>
  <dc:description>경영진 및 학교 관계자 보고용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