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9B" w:rsidRPr="000956E8" w:rsidRDefault="00B1169B" w:rsidP="00B1169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56E8">
        <w:rPr>
          <w:rFonts w:ascii="Arial" w:hAnsi="Arial" w:cs="Arial"/>
          <w:sz w:val="24"/>
          <w:szCs w:val="24"/>
        </w:rPr>
        <w:t xml:space="preserve">Dr. Huan (Sharon) Wang gained her PhD in 2013 from University of Colorado at Boulder under the co-mentorship of Dr. Kristi </w:t>
      </w:r>
      <w:proofErr w:type="spellStart"/>
      <w:r w:rsidRPr="000956E8">
        <w:rPr>
          <w:rFonts w:ascii="Arial" w:hAnsi="Arial" w:cs="Arial"/>
          <w:sz w:val="24"/>
          <w:szCs w:val="24"/>
        </w:rPr>
        <w:t>Anseth</w:t>
      </w:r>
      <w:proofErr w:type="spellEnd"/>
      <w:r w:rsidRPr="000956E8">
        <w:rPr>
          <w:rFonts w:ascii="Arial" w:hAnsi="Arial" w:cs="Arial"/>
          <w:sz w:val="24"/>
          <w:szCs w:val="24"/>
        </w:rPr>
        <w:t xml:space="preserve"> and Dr. Leslie </w:t>
      </w:r>
      <w:proofErr w:type="spellStart"/>
      <w:r w:rsidRPr="000956E8">
        <w:rPr>
          <w:rFonts w:ascii="Arial" w:hAnsi="Arial" w:cs="Arial"/>
          <w:sz w:val="24"/>
          <w:szCs w:val="24"/>
        </w:rPr>
        <w:t>Leinwand</w:t>
      </w:r>
      <w:proofErr w:type="spellEnd"/>
      <w:r w:rsidRPr="000956E8">
        <w:rPr>
          <w:rFonts w:ascii="Arial" w:hAnsi="Arial" w:cs="Arial"/>
          <w:sz w:val="24"/>
          <w:szCs w:val="24"/>
        </w:rPr>
        <w:t xml:space="preserve">. </w:t>
      </w:r>
      <w:r w:rsidR="000956E8" w:rsidRPr="000956E8">
        <w:rPr>
          <w:rFonts w:ascii="Arial" w:hAnsi="Arial" w:cs="Arial"/>
          <w:sz w:val="24"/>
          <w:szCs w:val="24"/>
        </w:rPr>
        <w:t xml:space="preserve">During that time, </w:t>
      </w:r>
      <w:r w:rsidR="000956E8" w:rsidRPr="000956E8">
        <w:rPr>
          <w:rFonts w:ascii="Arial" w:hAnsi="Arial" w:cs="Arial"/>
          <w:sz w:val="24"/>
          <w:szCs w:val="24"/>
        </w:rPr>
        <w:t xml:space="preserve">Dr. Wang has </w:t>
      </w:r>
      <w:r w:rsidR="000956E8" w:rsidRPr="000956E8">
        <w:rPr>
          <w:rFonts w:ascii="Arial" w:hAnsi="Arial" w:cs="Arial"/>
          <w:sz w:val="24"/>
          <w:szCs w:val="24"/>
        </w:rPr>
        <w:t xml:space="preserve">integrated the two disciplines of molecular biology and biomaterial engineering and </w:t>
      </w:r>
      <w:r w:rsidR="000956E8" w:rsidRPr="000956E8">
        <w:rPr>
          <w:rFonts w:ascii="Arial" w:hAnsi="Arial" w:cs="Arial"/>
          <w:sz w:val="24"/>
          <w:szCs w:val="24"/>
        </w:rPr>
        <w:t>published several papers related to cardiac valve tissue engineering and c</w:t>
      </w:r>
      <w:r w:rsidR="000956E8" w:rsidRPr="000956E8">
        <w:rPr>
          <w:rFonts w:ascii="Arial" w:hAnsi="Arial" w:cs="Arial"/>
          <w:sz w:val="24"/>
          <w:szCs w:val="24"/>
        </w:rPr>
        <w:t>ellular signaling</w:t>
      </w:r>
      <w:r w:rsidR="000956E8" w:rsidRPr="000956E8">
        <w:rPr>
          <w:rFonts w:ascii="Arial" w:hAnsi="Arial" w:cs="Arial"/>
          <w:sz w:val="24"/>
          <w:szCs w:val="24"/>
        </w:rPr>
        <w:t>.</w:t>
      </w:r>
      <w:r w:rsidR="000956E8" w:rsidRPr="000956E8">
        <w:rPr>
          <w:rFonts w:ascii="Arial" w:hAnsi="Arial" w:cs="Arial"/>
          <w:sz w:val="24"/>
          <w:szCs w:val="24"/>
        </w:rPr>
        <w:t xml:space="preserve"> </w:t>
      </w:r>
      <w:r w:rsidRPr="000956E8">
        <w:rPr>
          <w:rFonts w:ascii="Arial" w:hAnsi="Arial" w:cs="Arial"/>
          <w:sz w:val="24"/>
          <w:szCs w:val="24"/>
        </w:rPr>
        <w:t xml:space="preserve">Currently, Dr. Wang is a postdoctoral research associate working for Dr. Peter </w:t>
      </w:r>
      <w:proofErr w:type="spellStart"/>
      <w:r w:rsidRPr="000956E8">
        <w:rPr>
          <w:rFonts w:ascii="Arial" w:hAnsi="Arial" w:cs="Arial"/>
          <w:sz w:val="24"/>
          <w:szCs w:val="24"/>
        </w:rPr>
        <w:t>Sorger</w:t>
      </w:r>
      <w:proofErr w:type="spellEnd"/>
      <w:r w:rsidR="000956E8" w:rsidRPr="000956E8">
        <w:rPr>
          <w:rFonts w:ascii="Arial" w:hAnsi="Arial" w:cs="Arial"/>
          <w:sz w:val="24"/>
          <w:szCs w:val="24"/>
        </w:rPr>
        <w:t xml:space="preserve"> and Laboratory of Systems Pharmacology</w:t>
      </w:r>
      <w:r w:rsidRPr="000956E8">
        <w:rPr>
          <w:rFonts w:ascii="Arial" w:hAnsi="Arial" w:cs="Arial"/>
          <w:sz w:val="24"/>
          <w:szCs w:val="24"/>
        </w:rPr>
        <w:t xml:space="preserve"> at Harvard Medical School. For her postdoc research, she hopes to apply systems and quantitative biology approaches in understanding</w:t>
      </w:r>
      <w:r w:rsidRPr="000956E8">
        <w:rPr>
          <w:rFonts w:ascii="Arial" w:hAnsi="Arial" w:cs="Arial"/>
          <w:sz w:val="24"/>
          <w:szCs w:val="24"/>
        </w:rPr>
        <w:t xml:space="preserve"> the mechanisms of </w:t>
      </w:r>
      <w:proofErr w:type="spellStart"/>
      <w:r w:rsidR="000956E8" w:rsidRPr="000956E8">
        <w:rPr>
          <w:rFonts w:ascii="Arial" w:hAnsi="Arial" w:cs="Arial"/>
          <w:sz w:val="24"/>
          <w:szCs w:val="24"/>
        </w:rPr>
        <w:t>cardiotoxicity</w:t>
      </w:r>
      <w:proofErr w:type="spellEnd"/>
      <w:r w:rsidR="000956E8" w:rsidRPr="000956E8">
        <w:rPr>
          <w:rFonts w:ascii="Arial" w:hAnsi="Arial" w:cs="Arial"/>
          <w:sz w:val="24"/>
          <w:szCs w:val="24"/>
        </w:rPr>
        <w:t xml:space="preserve"> </w:t>
      </w:r>
      <w:r w:rsidRPr="000956E8">
        <w:rPr>
          <w:rFonts w:ascii="Arial" w:hAnsi="Arial" w:cs="Arial"/>
          <w:sz w:val="24"/>
          <w:szCs w:val="24"/>
        </w:rPr>
        <w:t xml:space="preserve">towards the goal of </w:t>
      </w:r>
      <w:r w:rsidR="000956E8" w:rsidRPr="000956E8">
        <w:rPr>
          <w:rFonts w:ascii="Arial" w:hAnsi="Arial" w:cs="Arial"/>
          <w:sz w:val="24"/>
          <w:szCs w:val="24"/>
        </w:rPr>
        <w:t xml:space="preserve">assessing and </w:t>
      </w:r>
      <w:r w:rsidRPr="000956E8">
        <w:rPr>
          <w:rFonts w:ascii="Arial" w:hAnsi="Arial" w:cs="Arial"/>
          <w:sz w:val="24"/>
          <w:szCs w:val="24"/>
        </w:rPr>
        <w:t xml:space="preserve">developing </w:t>
      </w:r>
      <w:r w:rsidR="000956E8" w:rsidRPr="000956E8">
        <w:rPr>
          <w:rFonts w:ascii="Arial" w:hAnsi="Arial" w:cs="Arial"/>
          <w:sz w:val="24"/>
          <w:szCs w:val="24"/>
        </w:rPr>
        <w:t xml:space="preserve">safe </w:t>
      </w:r>
      <w:r w:rsidRPr="000956E8">
        <w:rPr>
          <w:rFonts w:ascii="Arial" w:hAnsi="Arial" w:cs="Arial"/>
          <w:sz w:val="24"/>
          <w:szCs w:val="24"/>
        </w:rPr>
        <w:t>drug</w:t>
      </w:r>
      <w:r w:rsidR="000956E8" w:rsidRPr="000956E8">
        <w:rPr>
          <w:rFonts w:ascii="Arial" w:hAnsi="Arial" w:cs="Arial"/>
          <w:sz w:val="24"/>
          <w:szCs w:val="24"/>
        </w:rPr>
        <w:t>s for patients.</w:t>
      </w:r>
      <w:r w:rsidRPr="000956E8">
        <w:rPr>
          <w:rFonts w:ascii="Arial" w:hAnsi="Arial" w:cs="Arial"/>
          <w:sz w:val="24"/>
          <w:szCs w:val="24"/>
        </w:rPr>
        <w:t xml:space="preserve"> </w:t>
      </w:r>
    </w:p>
    <w:p w:rsidR="00EE5E0B" w:rsidRPr="000956E8" w:rsidRDefault="00EE5E0B">
      <w:pPr>
        <w:rPr>
          <w:rFonts w:ascii="Arial" w:hAnsi="Arial" w:cs="Arial"/>
          <w:sz w:val="24"/>
          <w:szCs w:val="24"/>
        </w:rPr>
      </w:pPr>
    </w:p>
    <w:p w:rsidR="000956E8" w:rsidRPr="000956E8" w:rsidRDefault="000956E8" w:rsidP="000956E8">
      <w:pPr>
        <w:widowControl w:val="0"/>
        <w:spacing w:after="0" w:line="240" w:lineRule="auto"/>
        <w:jc w:val="both"/>
        <w:rPr>
          <w:rFonts w:ascii="Arial" w:eastAsia="SimSun" w:hAnsi="Arial" w:cs="Arial"/>
          <w:b/>
          <w:bCs/>
          <w:kern w:val="2"/>
          <w:sz w:val="24"/>
          <w:szCs w:val="24"/>
        </w:rPr>
      </w:pPr>
      <w:r w:rsidRPr="000956E8">
        <w:rPr>
          <w:rFonts w:ascii="Arial" w:eastAsia="SimSun" w:hAnsi="Arial" w:cs="Arial"/>
          <w:b/>
          <w:bCs/>
          <w:kern w:val="2"/>
          <w:sz w:val="24"/>
          <w:szCs w:val="24"/>
        </w:rPr>
        <w:t>PUBLICATIONS</w:t>
      </w:r>
    </w:p>
    <w:p w:rsidR="000956E8" w:rsidRPr="000956E8" w:rsidRDefault="000956E8" w:rsidP="000956E8">
      <w:pPr>
        <w:widowControl w:val="0"/>
        <w:numPr>
          <w:ilvl w:val="0"/>
          <w:numId w:val="1"/>
        </w:numPr>
        <w:spacing w:after="0" w:line="240" w:lineRule="auto"/>
        <w:ind w:left="450" w:rightChars="120" w:right="264" w:hanging="270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  <w:r w:rsidRPr="000956E8">
        <w:rPr>
          <w:rFonts w:ascii="Arial" w:eastAsia="SimSun" w:hAnsi="Arial" w:cs="Arial"/>
          <w:b/>
          <w:kern w:val="2"/>
          <w:sz w:val="24"/>
          <w:szCs w:val="24"/>
        </w:rPr>
        <w:t>Wang H</w:t>
      </w:r>
      <w:r w:rsidRPr="000956E8">
        <w:rPr>
          <w:rFonts w:ascii="Arial" w:eastAsia="SimSun" w:hAnsi="Arial" w:cs="Arial"/>
          <w:kern w:val="2"/>
          <w:sz w:val="24"/>
          <w:szCs w:val="24"/>
        </w:rPr>
        <w:t xml:space="preserve">,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Tibbitt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MW, Langer SJ,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Leinwand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LA and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Anseth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KS. H</w:t>
      </w:r>
      <w:r w:rsidRPr="000956E8">
        <w:rPr>
          <w:rFonts w:ascii="Arial" w:eastAsia="SimSun" w:hAnsi="Arial" w:cs="Arial"/>
          <w:bCs/>
          <w:kern w:val="2"/>
          <w:sz w:val="24"/>
          <w:szCs w:val="24"/>
        </w:rPr>
        <w:t xml:space="preserve">ydrogels preserve inactivated fibroblast phenotype of </w:t>
      </w:r>
      <w:proofErr w:type="spellStart"/>
      <w:r w:rsidRPr="000956E8">
        <w:rPr>
          <w:rFonts w:ascii="Arial" w:eastAsia="SimSun" w:hAnsi="Arial" w:cs="Arial"/>
          <w:bCs/>
          <w:kern w:val="2"/>
          <w:sz w:val="24"/>
          <w:szCs w:val="24"/>
        </w:rPr>
        <w:t>valvular</w:t>
      </w:r>
      <w:proofErr w:type="spellEnd"/>
      <w:r w:rsidRPr="000956E8">
        <w:rPr>
          <w:rFonts w:ascii="Arial" w:eastAsia="SimSun" w:hAnsi="Arial" w:cs="Arial"/>
          <w:bCs/>
          <w:kern w:val="2"/>
          <w:sz w:val="24"/>
          <w:szCs w:val="24"/>
        </w:rPr>
        <w:t xml:space="preserve"> interstitial cells through an elasticity-regulated PI3K/AKT pathway. </w:t>
      </w:r>
      <w:r w:rsidRPr="000956E8">
        <w:rPr>
          <w:rFonts w:ascii="Arial" w:eastAsia="SimSun" w:hAnsi="Arial" w:cs="Arial"/>
          <w:i/>
          <w:color w:val="000000"/>
          <w:kern w:val="2"/>
          <w:sz w:val="24"/>
          <w:szCs w:val="24"/>
        </w:rPr>
        <w:t>Proceedings of the National Academy of Sciences USA,</w:t>
      </w:r>
      <w:r w:rsidRPr="000956E8">
        <w:rPr>
          <w:rFonts w:ascii="Arial" w:eastAsia="SimSun" w:hAnsi="Arial" w:cs="Arial"/>
          <w:color w:val="222222"/>
          <w:kern w:val="2"/>
          <w:sz w:val="24"/>
          <w:szCs w:val="24"/>
          <w:bdr w:val="none" w:sz="0" w:space="0" w:color="auto" w:frame="1"/>
          <w:shd w:val="clear" w:color="auto" w:fill="FFFFFF"/>
        </w:rPr>
        <w:t xml:space="preserve"> 110 (48): 19336-19341 </w:t>
      </w:r>
      <w:r w:rsidRPr="000956E8">
        <w:rPr>
          <w:rFonts w:ascii="Arial" w:eastAsia="SimSun" w:hAnsi="Arial" w:cs="Arial"/>
          <w:bCs/>
          <w:kern w:val="2"/>
          <w:sz w:val="24"/>
          <w:szCs w:val="24"/>
        </w:rPr>
        <w:t>(2013)</w:t>
      </w:r>
      <w:r w:rsidRPr="000956E8">
        <w:rPr>
          <w:rFonts w:ascii="Arial" w:eastAsia="SimSun" w:hAnsi="Arial" w:cs="Arial"/>
          <w:bCs/>
          <w:i/>
          <w:kern w:val="2"/>
          <w:sz w:val="24"/>
          <w:szCs w:val="24"/>
        </w:rPr>
        <w:t>.</w:t>
      </w:r>
    </w:p>
    <w:p w:rsidR="000956E8" w:rsidRPr="000956E8" w:rsidRDefault="000956E8" w:rsidP="000956E8">
      <w:pPr>
        <w:widowControl w:val="0"/>
        <w:spacing w:after="0" w:line="240" w:lineRule="auto"/>
        <w:ind w:left="450" w:rightChars="120" w:right="264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</w:p>
    <w:p w:rsidR="000956E8" w:rsidRPr="000956E8" w:rsidRDefault="000956E8" w:rsidP="000956E8">
      <w:pPr>
        <w:widowControl w:val="0"/>
        <w:numPr>
          <w:ilvl w:val="0"/>
          <w:numId w:val="1"/>
        </w:numPr>
        <w:spacing w:after="0" w:line="240" w:lineRule="auto"/>
        <w:ind w:left="450" w:rightChars="120" w:right="264" w:hanging="270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  <w:r w:rsidRPr="000956E8">
        <w:rPr>
          <w:rFonts w:ascii="Arial" w:eastAsia="SimSun" w:hAnsi="Arial" w:cs="Arial"/>
          <w:b/>
          <w:bCs/>
          <w:kern w:val="2"/>
          <w:sz w:val="24"/>
          <w:szCs w:val="24"/>
        </w:rPr>
        <w:t>Wang H</w:t>
      </w:r>
      <w:r w:rsidRPr="000956E8">
        <w:rPr>
          <w:rFonts w:ascii="Arial" w:eastAsia="SimSun" w:hAnsi="Arial" w:cs="Arial"/>
          <w:bCs/>
          <w:kern w:val="2"/>
          <w:sz w:val="24"/>
          <w:szCs w:val="24"/>
        </w:rPr>
        <w:t xml:space="preserve">, </w:t>
      </w:r>
      <w:proofErr w:type="spellStart"/>
      <w:r w:rsidRPr="000956E8">
        <w:rPr>
          <w:rFonts w:ascii="Arial" w:eastAsia="SimSun" w:hAnsi="Arial" w:cs="Arial"/>
          <w:bCs/>
          <w:kern w:val="2"/>
          <w:sz w:val="24"/>
          <w:szCs w:val="24"/>
        </w:rPr>
        <w:t>Haeger</w:t>
      </w:r>
      <w:proofErr w:type="spellEnd"/>
      <w:r w:rsidRPr="000956E8">
        <w:rPr>
          <w:rFonts w:ascii="Arial" w:eastAsia="SimSun" w:hAnsi="Arial" w:cs="Arial"/>
          <w:bCs/>
          <w:kern w:val="2"/>
          <w:sz w:val="24"/>
          <w:szCs w:val="24"/>
        </w:rPr>
        <w:t xml:space="preserve"> SM, </w:t>
      </w:r>
      <w:proofErr w:type="spellStart"/>
      <w:r w:rsidRPr="000956E8">
        <w:rPr>
          <w:rFonts w:ascii="Arial" w:eastAsia="SimSun" w:hAnsi="Arial" w:cs="Arial"/>
          <w:bCs/>
          <w:kern w:val="2"/>
          <w:sz w:val="24"/>
          <w:szCs w:val="24"/>
        </w:rPr>
        <w:t>Kloxin</w:t>
      </w:r>
      <w:proofErr w:type="spellEnd"/>
      <w:r w:rsidRPr="000956E8">
        <w:rPr>
          <w:rFonts w:ascii="Arial" w:eastAsia="SimSun" w:hAnsi="Arial" w:cs="Arial"/>
          <w:bCs/>
          <w:kern w:val="2"/>
          <w:sz w:val="24"/>
          <w:szCs w:val="24"/>
        </w:rPr>
        <w:t xml:space="preserve"> AK, </w:t>
      </w:r>
      <w:proofErr w:type="spellStart"/>
      <w:r w:rsidRPr="000956E8">
        <w:rPr>
          <w:rFonts w:ascii="Arial" w:eastAsia="SimSun" w:hAnsi="Arial" w:cs="Arial"/>
          <w:bCs/>
          <w:kern w:val="2"/>
          <w:sz w:val="24"/>
          <w:szCs w:val="24"/>
        </w:rPr>
        <w:t>Leinwand</w:t>
      </w:r>
      <w:proofErr w:type="spellEnd"/>
      <w:r w:rsidRPr="000956E8">
        <w:rPr>
          <w:rFonts w:ascii="Arial" w:eastAsia="SimSun" w:hAnsi="Arial" w:cs="Arial"/>
          <w:bCs/>
          <w:kern w:val="2"/>
          <w:sz w:val="24"/>
          <w:szCs w:val="24"/>
        </w:rPr>
        <w:t xml:space="preserve"> LA and </w:t>
      </w:r>
      <w:proofErr w:type="spellStart"/>
      <w:r w:rsidRPr="000956E8">
        <w:rPr>
          <w:rFonts w:ascii="Arial" w:eastAsia="SimSun" w:hAnsi="Arial" w:cs="Arial"/>
          <w:bCs/>
          <w:kern w:val="2"/>
          <w:sz w:val="24"/>
          <w:szCs w:val="24"/>
        </w:rPr>
        <w:t>Anseth</w:t>
      </w:r>
      <w:proofErr w:type="spellEnd"/>
      <w:r w:rsidRPr="000956E8">
        <w:rPr>
          <w:rFonts w:ascii="Arial" w:eastAsia="SimSun" w:hAnsi="Arial" w:cs="Arial"/>
          <w:bCs/>
          <w:kern w:val="2"/>
          <w:sz w:val="24"/>
          <w:szCs w:val="24"/>
        </w:rPr>
        <w:t xml:space="preserve"> KS. </w:t>
      </w:r>
      <w:r w:rsidRPr="000956E8">
        <w:rPr>
          <w:rFonts w:ascii="Arial" w:eastAsia="SimSun" w:hAnsi="Arial" w:cs="Arial"/>
          <w:kern w:val="2"/>
          <w:sz w:val="24"/>
          <w:szCs w:val="24"/>
        </w:rPr>
        <w:t xml:space="preserve">Redirecting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valvular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myofibroblasts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into dormant fibroblasts through light-mediated reduction in substrate modulus. </w:t>
      </w:r>
      <w:proofErr w:type="spellStart"/>
      <w:r w:rsidRPr="000956E8">
        <w:rPr>
          <w:rFonts w:ascii="Arial" w:eastAsia="SimSun" w:hAnsi="Arial" w:cs="Arial"/>
          <w:i/>
          <w:kern w:val="2"/>
          <w:sz w:val="24"/>
          <w:szCs w:val="24"/>
        </w:rPr>
        <w:t>PLoS</w:t>
      </w:r>
      <w:proofErr w:type="spellEnd"/>
      <w:r w:rsidRPr="000956E8">
        <w:rPr>
          <w:rFonts w:ascii="Arial" w:eastAsia="SimSun" w:hAnsi="Arial" w:cs="Arial"/>
          <w:i/>
          <w:kern w:val="2"/>
          <w:sz w:val="24"/>
          <w:szCs w:val="24"/>
        </w:rPr>
        <w:t xml:space="preserve"> ONE </w:t>
      </w:r>
      <w:r w:rsidRPr="000956E8">
        <w:rPr>
          <w:rFonts w:ascii="Arial" w:eastAsia="SimSun" w:hAnsi="Arial" w:cs="Arial"/>
          <w:color w:val="000000"/>
          <w:kern w:val="2"/>
          <w:sz w:val="24"/>
          <w:szCs w:val="24"/>
        </w:rPr>
        <w:t>7(7):e39969 (2012).</w:t>
      </w:r>
    </w:p>
    <w:p w:rsidR="000956E8" w:rsidRPr="000956E8" w:rsidRDefault="000956E8" w:rsidP="000956E8">
      <w:pPr>
        <w:widowControl w:val="0"/>
        <w:spacing w:after="0" w:line="240" w:lineRule="auto"/>
        <w:ind w:rightChars="120" w:right="264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</w:p>
    <w:p w:rsidR="000956E8" w:rsidRPr="000956E8" w:rsidRDefault="000956E8" w:rsidP="000956E8">
      <w:pPr>
        <w:widowControl w:val="0"/>
        <w:numPr>
          <w:ilvl w:val="0"/>
          <w:numId w:val="1"/>
        </w:numPr>
        <w:spacing w:after="0" w:line="240" w:lineRule="auto"/>
        <w:ind w:left="450" w:rightChars="120" w:right="264" w:hanging="270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  <w:r w:rsidRPr="000956E8">
        <w:rPr>
          <w:rFonts w:ascii="Arial" w:eastAsia="SimSun" w:hAnsi="Arial" w:cs="Arial"/>
          <w:b/>
          <w:kern w:val="2"/>
          <w:sz w:val="24"/>
          <w:szCs w:val="24"/>
          <w:shd w:val="clear" w:color="auto" w:fill="FFFFFF"/>
        </w:rPr>
        <w:t>Wang H</w:t>
      </w:r>
      <w:r w:rsidRPr="000956E8">
        <w:rPr>
          <w:rFonts w:ascii="Arial" w:eastAsia="SimSun" w:hAnsi="Arial" w:cs="Arial"/>
          <w:kern w:val="2"/>
          <w:sz w:val="24"/>
          <w:szCs w:val="24"/>
          <w:shd w:val="clear" w:color="auto" w:fill="FFFFFF"/>
        </w:rPr>
        <w:t xml:space="preserve">, Sridhar B,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  <w:shd w:val="clear" w:color="auto" w:fill="FFFFFF"/>
        </w:rPr>
        <w:t>Leinwand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  <w:shd w:val="clear" w:color="auto" w:fill="FFFFFF"/>
        </w:rPr>
        <w:t xml:space="preserve"> LA,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  <w:shd w:val="clear" w:color="auto" w:fill="FFFFFF"/>
        </w:rPr>
        <w:t>Anseth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  <w:shd w:val="clear" w:color="auto" w:fill="FFFFFF"/>
        </w:rPr>
        <w:t xml:space="preserve"> KS. Characterization of cell subpopulations expressing progenitor cell markers in porcine cardiac valves. </w:t>
      </w:r>
      <w:proofErr w:type="spellStart"/>
      <w:r w:rsidRPr="000956E8">
        <w:rPr>
          <w:rFonts w:ascii="Arial" w:eastAsia="SimSun" w:hAnsi="Arial" w:cs="Arial"/>
          <w:i/>
          <w:kern w:val="2"/>
          <w:sz w:val="24"/>
          <w:szCs w:val="24"/>
          <w:shd w:val="clear" w:color="auto" w:fill="FFFFFF"/>
        </w:rPr>
        <w:t>PLoS</w:t>
      </w:r>
      <w:proofErr w:type="spellEnd"/>
      <w:r w:rsidRPr="000956E8">
        <w:rPr>
          <w:rFonts w:ascii="Arial" w:eastAsia="SimSun" w:hAnsi="Arial" w:cs="Arial"/>
          <w:i/>
          <w:kern w:val="2"/>
          <w:sz w:val="24"/>
          <w:szCs w:val="24"/>
          <w:shd w:val="clear" w:color="auto" w:fill="FFFFFF"/>
        </w:rPr>
        <w:t xml:space="preserve"> ONE</w:t>
      </w:r>
      <w:r w:rsidRPr="000956E8">
        <w:rPr>
          <w:rFonts w:ascii="Arial" w:eastAsia="SimSun" w:hAnsi="Arial" w:cs="Arial"/>
          <w:kern w:val="2"/>
          <w:sz w:val="24"/>
          <w:szCs w:val="24"/>
          <w:shd w:val="clear" w:color="auto" w:fill="FFFFFF"/>
        </w:rPr>
        <w:t xml:space="preserve"> 8(7): e69667 (2013).</w:t>
      </w:r>
    </w:p>
    <w:p w:rsidR="000956E8" w:rsidRPr="000956E8" w:rsidRDefault="000956E8" w:rsidP="000956E8">
      <w:pPr>
        <w:widowControl w:val="0"/>
        <w:spacing w:after="0" w:line="240" w:lineRule="auto"/>
        <w:ind w:rightChars="120" w:right="264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</w:p>
    <w:p w:rsidR="000956E8" w:rsidRPr="000956E8" w:rsidRDefault="000956E8" w:rsidP="000956E8">
      <w:pPr>
        <w:widowControl w:val="0"/>
        <w:numPr>
          <w:ilvl w:val="0"/>
          <w:numId w:val="1"/>
        </w:numPr>
        <w:spacing w:after="0" w:line="240" w:lineRule="auto"/>
        <w:ind w:left="450" w:rightChars="120" w:right="264" w:hanging="270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  <w:r w:rsidRPr="000956E8">
        <w:rPr>
          <w:rFonts w:ascii="Arial" w:eastAsia="SimSun" w:hAnsi="Arial" w:cs="Arial"/>
          <w:b/>
          <w:kern w:val="2"/>
          <w:sz w:val="24"/>
          <w:szCs w:val="24"/>
        </w:rPr>
        <w:t>Wang H</w:t>
      </w:r>
      <w:r w:rsidRPr="000956E8">
        <w:rPr>
          <w:rFonts w:ascii="Arial" w:eastAsia="SimSun" w:hAnsi="Arial" w:cs="Arial"/>
          <w:kern w:val="2"/>
          <w:sz w:val="24"/>
          <w:szCs w:val="24"/>
        </w:rPr>
        <w:t xml:space="preserve">,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Leinwand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LA and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Anseth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KS. Roles of TGF-β1 and OB-cadherin in cardiac valve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myofibroblast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differentiation</w:t>
      </w:r>
      <w:r w:rsidRPr="000956E8">
        <w:rPr>
          <w:rFonts w:ascii="Arial" w:eastAsia="SimSun" w:hAnsi="Arial" w:cs="Arial"/>
          <w:bCs/>
          <w:kern w:val="2"/>
          <w:sz w:val="24"/>
          <w:szCs w:val="24"/>
        </w:rPr>
        <w:t xml:space="preserve">, </w:t>
      </w:r>
      <w:r w:rsidRPr="000956E8">
        <w:rPr>
          <w:rFonts w:ascii="Arial" w:eastAsia="SimSun" w:hAnsi="Arial" w:cs="Arial"/>
          <w:i/>
          <w:kern w:val="2"/>
          <w:sz w:val="24"/>
          <w:szCs w:val="24"/>
        </w:rPr>
        <w:t>The FASEB Journal, accepted</w:t>
      </w:r>
      <w:r w:rsidRPr="000956E8">
        <w:rPr>
          <w:rFonts w:ascii="Arial" w:eastAsia="SimSun" w:hAnsi="Arial" w:cs="Arial"/>
          <w:bCs/>
          <w:color w:val="222222"/>
          <w:kern w:val="2"/>
          <w:sz w:val="24"/>
          <w:szCs w:val="24"/>
        </w:rPr>
        <w:t>.</w:t>
      </w:r>
    </w:p>
    <w:p w:rsidR="000956E8" w:rsidRPr="000956E8" w:rsidRDefault="000956E8" w:rsidP="000956E8">
      <w:pPr>
        <w:widowControl w:val="0"/>
        <w:spacing w:after="0" w:line="240" w:lineRule="auto"/>
        <w:ind w:rightChars="120" w:right="264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</w:p>
    <w:p w:rsidR="000956E8" w:rsidRPr="000956E8" w:rsidRDefault="000956E8" w:rsidP="000956E8">
      <w:pPr>
        <w:widowControl w:val="0"/>
        <w:numPr>
          <w:ilvl w:val="0"/>
          <w:numId w:val="1"/>
        </w:numPr>
        <w:spacing w:after="0" w:line="240" w:lineRule="auto"/>
        <w:ind w:left="450" w:rightChars="120" w:right="264" w:hanging="270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  <w:r w:rsidRPr="000956E8">
        <w:rPr>
          <w:rFonts w:ascii="Arial" w:eastAsia="SimSun" w:hAnsi="Arial" w:cs="Arial"/>
          <w:b/>
          <w:kern w:val="2"/>
          <w:sz w:val="24"/>
          <w:szCs w:val="24"/>
        </w:rPr>
        <w:t>Wang H</w:t>
      </w:r>
      <w:r w:rsidRPr="000956E8">
        <w:rPr>
          <w:rFonts w:ascii="Arial" w:eastAsia="SimSun" w:hAnsi="Arial" w:cs="Arial"/>
          <w:kern w:val="2"/>
          <w:sz w:val="24"/>
          <w:szCs w:val="24"/>
        </w:rPr>
        <w:t xml:space="preserve">,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Leinwand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LA and </w:t>
      </w:r>
      <w:proofErr w:type="spellStart"/>
      <w:r w:rsidRPr="000956E8">
        <w:rPr>
          <w:rFonts w:ascii="Arial" w:eastAsia="SimSun" w:hAnsi="Arial" w:cs="Arial"/>
          <w:kern w:val="2"/>
          <w:sz w:val="24"/>
          <w:szCs w:val="24"/>
        </w:rPr>
        <w:t>Anseth</w:t>
      </w:r>
      <w:proofErr w:type="spellEnd"/>
      <w:r w:rsidRPr="000956E8">
        <w:rPr>
          <w:rFonts w:ascii="Arial" w:eastAsia="SimSun" w:hAnsi="Arial" w:cs="Arial"/>
          <w:kern w:val="2"/>
          <w:sz w:val="24"/>
          <w:szCs w:val="24"/>
        </w:rPr>
        <w:t xml:space="preserve"> KS. The cell and their matrix microenvironment in cardiac valves. </w:t>
      </w:r>
      <w:r w:rsidRPr="000956E8">
        <w:rPr>
          <w:rFonts w:ascii="Arial" w:eastAsia="SimSun" w:hAnsi="Arial" w:cs="Arial"/>
          <w:i/>
          <w:kern w:val="2"/>
          <w:sz w:val="24"/>
          <w:szCs w:val="24"/>
        </w:rPr>
        <w:t>Nature Reviews Cardiology, Accepted</w:t>
      </w:r>
      <w:r w:rsidRPr="000956E8">
        <w:rPr>
          <w:rFonts w:ascii="Arial" w:eastAsia="SimSun" w:hAnsi="Arial" w:cs="Arial"/>
          <w:i/>
          <w:kern w:val="2"/>
          <w:sz w:val="24"/>
          <w:szCs w:val="24"/>
        </w:rPr>
        <w:t xml:space="preserve"> and in production</w:t>
      </w:r>
      <w:r w:rsidRPr="000956E8">
        <w:rPr>
          <w:rFonts w:ascii="Arial" w:eastAsia="SimSun" w:hAnsi="Arial" w:cs="Arial"/>
          <w:i/>
          <w:kern w:val="2"/>
          <w:sz w:val="24"/>
          <w:szCs w:val="24"/>
        </w:rPr>
        <w:t xml:space="preserve">. </w:t>
      </w:r>
    </w:p>
    <w:p w:rsidR="000956E8" w:rsidRPr="000956E8" w:rsidRDefault="000956E8" w:rsidP="000956E8">
      <w:pPr>
        <w:widowControl w:val="0"/>
        <w:spacing w:after="0" w:line="240" w:lineRule="auto"/>
        <w:ind w:rightChars="120" w:right="264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  <w:bookmarkStart w:id="0" w:name="_GoBack"/>
      <w:bookmarkEnd w:id="0"/>
    </w:p>
    <w:p w:rsidR="000956E8" w:rsidRPr="000956E8" w:rsidRDefault="000956E8" w:rsidP="000956E8">
      <w:pPr>
        <w:widowControl w:val="0"/>
        <w:numPr>
          <w:ilvl w:val="0"/>
          <w:numId w:val="1"/>
        </w:numPr>
        <w:spacing w:after="0" w:line="240" w:lineRule="auto"/>
        <w:ind w:left="450" w:rightChars="120" w:right="264" w:hanging="270"/>
        <w:contextualSpacing/>
        <w:jc w:val="both"/>
        <w:rPr>
          <w:rFonts w:ascii="Arial" w:eastAsia="SimSun" w:hAnsi="Arial" w:cs="Arial"/>
          <w:bCs/>
          <w:kern w:val="2"/>
          <w:sz w:val="24"/>
          <w:szCs w:val="24"/>
        </w:rPr>
      </w:pPr>
      <w:proofErr w:type="spellStart"/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>Chapnick</w:t>
      </w:r>
      <w:proofErr w:type="spellEnd"/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 xml:space="preserve"> DA, Bunker E, </w:t>
      </w:r>
      <w:r w:rsidRPr="000956E8">
        <w:rPr>
          <w:rFonts w:ascii="Arial" w:eastAsia="SimSun" w:hAnsi="Arial" w:cs="Arial"/>
          <w:b/>
          <w:color w:val="222222"/>
          <w:kern w:val="2"/>
          <w:sz w:val="24"/>
          <w:szCs w:val="24"/>
          <w:shd w:val="clear" w:color="auto" w:fill="FFFFFF"/>
        </w:rPr>
        <w:t>Wang H</w:t>
      </w:r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 xml:space="preserve">, Jacobsen J, </w:t>
      </w:r>
      <w:proofErr w:type="spellStart"/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>Ahn</w:t>
      </w:r>
      <w:proofErr w:type="spellEnd"/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 xml:space="preserve"> N, </w:t>
      </w:r>
      <w:proofErr w:type="spellStart"/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>Anseth</w:t>
      </w:r>
      <w:proofErr w:type="spellEnd"/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 xml:space="preserve"> KS and Liu X. TGF-β and cellular </w:t>
      </w:r>
      <w:proofErr w:type="spellStart"/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>mechanosensing</w:t>
      </w:r>
      <w:proofErr w:type="spellEnd"/>
      <w:r w:rsidRPr="000956E8">
        <w:rPr>
          <w:rFonts w:ascii="Arial" w:eastAsia="SimSun" w:hAnsi="Arial" w:cs="Arial"/>
          <w:color w:val="222222"/>
          <w:kern w:val="2"/>
          <w:sz w:val="24"/>
          <w:szCs w:val="24"/>
          <w:shd w:val="clear" w:color="auto" w:fill="FFFFFF"/>
        </w:rPr>
        <w:t xml:space="preserve"> shape activation of TACE to govern spatially constrained MAPK and motility</w:t>
      </w:r>
      <w:r w:rsidRPr="000956E8">
        <w:rPr>
          <w:rFonts w:ascii="Arial" w:eastAsia="SimSun" w:hAnsi="Arial" w:cs="Arial"/>
          <w:color w:val="222222"/>
          <w:kern w:val="2"/>
          <w:sz w:val="24"/>
          <w:szCs w:val="24"/>
        </w:rPr>
        <w:t xml:space="preserve">. </w:t>
      </w:r>
      <w:r w:rsidRPr="000956E8">
        <w:rPr>
          <w:rFonts w:ascii="Arial" w:eastAsia="SimSun" w:hAnsi="Arial" w:cs="Arial"/>
          <w:i/>
          <w:color w:val="222222"/>
          <w:kern w:val="2"/>
          <w:sz w:val="24"/>
          <w:szCs w:val="24"/>
        </w:rPr>
        <w:t>Submitted</w:t>
      </w:r>
      <w:r w:rsidRPr="000956E8">
        <w:rPr>
          <w:rFonts w:ascii="Arial" w:eastAsia="SimSun" w:hAnsi="Arial" w:cs="Arial"/>
          <w:color w:val="222222"/>
          <w:kern w:val="2"/>
          <w:sz w:val="24"/>
          <w:szCs w:val="24"/>
        </w:rPr>
        <w:t>.</w:t>
      </w:r>
    </w:p>
    <w:p w:rsidR="000956E8" w:rsidRPr="000956E8" w:rsidRDefault="000956E8">
      <w:pPr>
        <w:rPr>
          <w:rFonts w:ascii="Arial" w:hAnsi="Arial" w:cs="Arial"/>
          <w:sz w:val="24"/>
          <w:szCs w:val="24"/>
        </w:rPr>
      </w:pPr>
    </w:p>
    <w:sectPr w:rsidR="000956E8" w:rsidRPr="0009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9B"/>
    <w:rsid w:val="000956E8"/>
    <w:rsid w:val="00B1169B"/>
    <w:rsid w:val="00E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124F-AF29-4DD3-B0F7-521B860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Huan Wang</cp:lastModifiedBy>
  <cp:revision>2</cp:revision>
  <dcterms:created xsi:type="dcterms:W3CDTF">2014-10-01T13:22:00Z</dcterms:created>
  <dcterms:modified xsi:type="dcterms:W3CDTF">2014-10-01T13:32:00Z</dcterms:modified>
</cp:coreProperties>
</file>