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Recent Advancements in Agricultural Biotechnology</w:t>
      </w:r>
    </w:p>
    <w:p>
      <w:pPr>
        <w:pStyle w:val="Heading2"/>
      </w:pPr>
      <w:r>
        <w:t>About</w:t>
      </w:r>
    </w:p>
    <w:p>
      <w:r>
        <w:t>This project reviews recent advancements in agricultural biotechnology and their role in improving crop production, sustainability, and climate resilience.</w:t>
      </w:r>
    </w:p>
    <w:p>
      <w:pPr>
        <w:pStyle w:val="Heading2"/>
      </w:pPr>
      <w:r>
        <w:t>Topics Covered</w:t>
      </w:r>
    </w:p>
    <w:p>
      <w:r>
        <w:rPr>
          <w:b/>
        </w:rPr>
        <w:t xml:space="preserve">CRISPR-Cas9, Base Editing and Prime Editing: </w:t>
      </w:r>
      <w:r>
        <w:t>Modern gene-editing techniques that enable more precise changes to crop genomes for traits such as disease resistance and stress tolerance.</w:t>
      </w:r>
    </w:p>
    <w:p>
      <w:r>
        <w:rPr>
          <w:b/>
        </w:rPr>
        <w:t xml:space="preserve">Biofertilizers and Synthetic Microbial Communities: </w:t>
      </w:r>
      <w:r>
        <w:t>Beneficial microorganisms such as Azospirillum, PSB and Trichoderma can improve nutrient availability and plant health. SynComs combine selected microorganisms with complementary functions.</w:t>
      </w:r>
    </w:p>
    <w:p>
      <w:r>
        <w:rPr>
          <w:b/>
        </w:rPr>
        <w:t xml:space="preserve">Rhizosphere Engineering: </w:t>
      </w:r>
      <w:r>
        <w:t>An approach that modifies plant–microbe–soil interactions to improve nutrient uptake, plant growth and resistance to environmental stresses.</w:t>
      </w:r>
    </w:p>
    <w:p>
      <w:r>
        <w:rPr>
          <w:b/>
        </w:rPr>
        <w:t xml:space="preserve">De Novo Domestication: </w:t>
      </w:r>
      <w:r>
        <w:t>Uses genome editing to develop useful crops from wild plants while retaining valuable traits such as drought or disease resistance.</w:t>
      </w:r>
    </w:p>
    <w:p>
      <w:pPr>
        <w:pStyle w:val="Heading2"/>
      </w:pPr>
      <w:r>
        <w:t>Key Takeaway</w:t>
      </w:r>
    </w:p>
    <w:p>
      <w:r>
        <w:t>Agricultural biotechnology is moving from conventional crop improvement toward precise gene editing and management of beneficial plant–microbe interactions. These technologies have strong potential, but field validation, technical limitations, regulatory considerations and long-term environmental effects still need to be addressed.</w:t>
      </w:r>
    </w:p>
    <w:p>
      <w:pPr>
        <w:pStyle w:val="Heading2"/>
      </w:pPr>
      <w:r>
        <w:t>References Used</w:t>
      </w:r>
    </w:p>
    <w:p>
      <w:r>
        <w:t>Muha-Ud-Din et al. (2024); Alzate Zuluaga et al. (2024); Solanki et al. (2024); Dev et al.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