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MultiEndpointTox: An Integrated Machine Learning Platform for Multi-Endpoint Toxicity Prediction with SHAP Interpretability</w:t>
      </w:r>
    </w:p>
    <w:p>
      <w:pPr>
        <w:spacing w:after="120"/>
      </w:pPr>
    </w:p>
    <w:p>
      <w:pPr>
        <w:spacing w:after="60"/>
        <w:jc w:val="center"/>
      </w:pPr>
      <w:r>
        <w:rPr>
          <w:rFonts w:ascii="Times New Roman" w:cs="Times New Roman" w:eastAsia="Times New Roman" w:hAnsi="Times New Roman"/>
          <w:sz w:val="24"/>
          <w:szCs w:val="24"/>
        </w:rPr>
        <w:t xml:space="preserve">Sharhabil Eltahir</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0"/>
          <w:szCs w:val="20"/>
        </w:rPr>
        <w:t xml:space="preserve">Institute of Graduate Studies and Research, Alexandria University, Alexandria, Egypt</w:t>
      </w:r>
    </w:p>
    <w:p>
      <w:pPr>
        <w:spacing w:after="120"/>
      </w:pPr>
    </w:p>
    <w:p>
      <w:pPr>
        <w:spacing w:after="200"/>
        <w:jc w:val="center"/>
      </w:pPr>
      <w:r>
        <w:rPr>
          <w:rFonts w:ascii="Times New Roman" w:cs="Times New Roman" w:eastAsia="Times New Roman" w:hAnsi="Times New Roman"/>
          <w:sz w:val="20"/>
          <w:szCs w:val="20"/>
        </w:rPr>
        <w:t xml:space="preserve">* Corresponding author. E-mail: [corresponding author email]</w:t>
      </w:r>
    </w:p>
    <w:p>
      <w:pPr>
        <w:pStyle w:val="Heading1"/>
        <w:spacing w:before="240" w:after="120"/>
      </w:pPr>
      <w:r>
        <w:rPr>
          <w:rFonts w:ascii="Times New Roman" w:cs="Times New Roman" w:eastAsia="Times New Roman" w:hAnsi="Times New Roman"/>
          <w:b/>
          <w:bCs/>
          <w:sz w:val="28"/>
          <w:szCs w:val="28"/>
        </w:rPr>
        <w:t xml:space="preserve">Highlights</w:t>
      </w:r>
    </w:p>
    <w:p>
      <w:pPr>
        <w:spacing w:after="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Integrated platform predicts seven toxicity endpoints from molecular structures in a single API call</w:t>
      </w:r>
    </w:p>
    <w:p>
      <w:pPr>
        <w:spacing w:after="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SHAP-based interpretability identifies key molecular features driving toxicity predictions</w:t>
      </w:r>
    </w:p>
    <w:p>
      <w:pPr>
        <w:spacing w:after="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Applicability domain assessment provides confidence metrics for each prediction</w:t>
      </w:r>
    </w:p>
    <w:p>
      <w:pPr>
        <w:spacing w:after="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Molecular docking integration enables structure-based validation of ML predictions</w:t>
      </w:r>
    </w:p>
    <w:p>
      <w:pPr>
        <w:spacing w:after="60" w:line="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RESTful API with batch processing supports high-throughput drug safety screening</w:t>
      </w:r>
    </w:p>
    <w:p>
      <w:pPr>
        <w:spacing w:after="120"/>
      </w:pPr>
    </w:p>
    <w:p>
      <w:pPr>
        <w:pStyle w:val="Heading1"/>
        <w:spacing w:before="240" w:after="120"/>
      </w:pPr>
      <w:r>
        <w:rPr>
          <w:rFonts w:ascii="Times New Roman" w:cs="Times New Roman" w:eastAsia="Times New Roman" w:hAnsi="Times New Roman"/>
          <w:b/>
          <w:bCs/>
          <w:sz w:val="28"/>
          <w:szCs w:val="28"/>
        </w:rPr>
        <w:t xml:space="preserve">Abstract</w:t>
      </w:r>
    </w:p>
    <w:p>
      <w:pPr>
        <w:spacing w:after="120" w:line="360"/>
        <w:jc w:val="left"/>
      </w:pPr>
      <w:r>
        <w:rPr>
          <w:rFonts w:ascii="Times New Roman" w:cs="Times New Roman" w:eastAsia="Times New Roman" w:hAnsi="Times New Roman"/>
          <w:sz w:val="24"/>
          <w:szCs w:val="24"/>
        </w:rPr>
        <w:t xml:space="preserve">Computational toxicology plays an increasingly important role in drug safety assessment, enabling early identification of potential adverse effects before costly experimental testing. However, most existing tools address individual toxicity endpoints in isolation, limiting their utility for comprehensive safety profiling. Here we present MultiEndpointTox, an integrated machine learning platform that simultaneously predicts seven critical toxicity endpoints from molecular structures: hERG channel inhibition (cardiotoxicity), drug-induced liver injury (hepatotoxicity), drug-induced kidney injury (nephrotoxicity), Ames mutagenicity, skin sensitization, general cytotoxicity, and reproductive toxicity. The platform employs ensemble machine learning approaches including XGBoost, Random Forest, Support Vector Machines, and LightGBM, trained on curated datasets ranging from 50 to 2,133 compounds per endpoint sourced from ChEMBL and peer-reviewed literature. Molecular features were computed using RDKit descriptors (25 physicochemical properties), Morgan circular fingerprints (2,048 bits, radius 2), and MACCS structural keys (167 bits), followed by variance and correlation-based feature selection to yield 500 optimized descriptors. Models achieved cross-validated AUC-ROC values of 0.63–0.95 across classification endpoints and R² of 0.65 for hERG regression. SHAP (SHapley Additive exPlanations) integration provides feature-level interpretability for every prediction. Additional capabilities include leverage-based applicability domain assessment, structural alert detection, AutoDock Vina molecular docking against six protein targets, and 3D descriptor calculations. The platform is deployed as a FastAPI-based REST API supporting single, multi-endpoint, batch, and integrated prediction modes. MultiEndpointTox addresses the need for comprehensive, interpretable, and accessible computational toxicity screening tools in early-stage drug discovery.</w:t>
      </w:r>
    </w:p>
    <w:p>
      <w:pPr>
        <w:spacing w:after="120"/>
      </w:pP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Computational toxicology; QSAR; Multi-endpoint prediction; SHAP interpretability; Drug safety; Machine learning; Applicability domain</w:t>
      </w:r>
    </w:p>
    <w:p>
      <w:r>
        <w:br w:type="page"/>
      </w:r>
    </w:p>
    <w:p>
      <w:pPr>
        <w:pStyle w:val="Heading1"/>
        <w:spacing w:before="240" w:after="120"/>
      </w:pPr>
      <w:r>
        <w:rPr>
          <w:rFonts w:ascii="Times New Roman" w:cs="Times New Roman" w:eastAsia="Times New Roman" w:hAnsi="Times New Roman"/>
          <w:b/>
          <w:bCs/>
          <w:sz w:val="28"/>
          <w:szCs w:val="28"/>
        </w:rPr>
        <w:t xml:space="preserve">1. Introduction</w:t>
      </w:r>
    </w:p>
    <w:p>
      <w:pPr>
        <w:spacing w:after="120" w:line="360"/>
        <w:jc w:val="left"/>
      </w:pPr>
      <w:r>
        <w:rPr>
          <w:rFonts w:ascii="Times New Roman" w:cs="Times New Roman" w:eastAsia="Times New Roman" w:hAnsi="Times New Roman"/>
          <w:sz w:val="24"/>
          <w:szCs w:val="24"/>
        </w:rPr>
        <w:t xml:space="preserve">Drug-induced toxicity remains one of the leading causes of attrition in pharmaceutical development, accounting for approximately 30% of drug candidate failures during clinical trials and a significant proportion of post-market withdrawals [1]. The economic and human costs associated with late-stage toxicity discoveries have driven substantial interest in computational approaches that can identify potential safety liabilities early in the drug discovery pipeline [2]. Quantitative structure–activity relationship (QSAR) modeling has emerged as a cornerstone methodology in computational toxicology, enabling the prediction of adverse biological effects directly from molecular structure [3].</w:t>
      </w:r>
    </w:p>
    <w:p>
      <w:pPr>
        <w:spacing w:after="120" w:line="360"/>
        <w:jc w:val="left"/>
      </w:pPr>
      <w:r>
        <w:rPr>
          <w:rFonts w:ascii="Times New Roman" w:cs="Times New Roman" w:eastAsia="Times New Roman" w:hAnsi="Times New Roman"/>
          <w:sz w:val="24"/>
          <w:szCs w:val="24"/>
        </w:rPr>
        <w:t xml:space="preserve">Despite significant advances in individual toxicity prediction models, several challenges persist. First, most computational tools are designed for single-endpoint predictions, requiring researchers to consult multiple disparate platforms to obtain a comprehensive safety profile [4]. This fragmented approach is inefficient and can lead to incomplete hazard assessment. Second, many existing models function as “black boxes,” providing predictions without mechanistic insight into which molecular features drive the predicted toxicity [5]. The lack of interpretability limits both regulatory acceptance and the utility of predictions for guiding structural optimization in medicinal chemistry [6]. Third, few platforms provide formal applicability domain (AD) assessment, leaving users uncertain about the reliability of predictions for novel chemical structures [7].</w:t>
      </w:r>
    </w:p>
    <w:p>
      <w:pPr>
        <w:spacing w:after="120" w:line="360"/>
        <w:jc w:val="left"/>
      </w:pPr>
      <w:r>
        <w:rPr>
          <w:rFonts w:ascii="Times New Roman" w:cs="Times New Roman" w:eastAsia="Times New Roman" w:hAnsi="Times New Roman"/>
          <w:sz w:val="24"/>
          <w:szCs w:val="24"/>
        </w:rPr>
        <w:t xml:space="preserve">Recent developments in explainable artificial intelligence (XAI) have introduced tools such as SHAP (SHapley Additive exPlanations) that can decompose model predictions into individual feature contributions [8]. When applied to QSAR models, SHAP values can identify which molecular descriptors, fingerprint bits, or structural keys most strongly influence a toxicity prediction, bridging the gap between statistical modeling and mechanistic understanding [9]. Similarly, advances in applicability domain methodology, particularly leverage-based approaches, offer rigorous statistical frameworks for quantifying prediction confidence [10].</w:t>
      </w:r>
    </w:p>
    <w:p>
      <w:pPr>
        <w:spacing w:after="120" w:line="360"/>
        <w:jc w:val="left"/>
      </w:pPr>
      <w:r>
        <w:rPr>
          <w:rFonts w:ascii="Times New Roman" w:cs="Times New Roman" w:eastAsia="Times New Roman" w:hAnsi="Times New Roman"/>
          <w:sz w:val="24"/>
          <w:szCs w:val="24"/>
        </w:rPr>
        <w:t xml:space="preserve">Molecular docking provides complementary structure-based insights that can validate and enhance ligand-based QSAR predictions [11]. By simulating the binding of compounds to relevant protein targets such as hERG potassium channels, cytochrome P450 enzymes, and nuclear receptors, docking can identify potential mechanisms of toxicity that may not be captured by 2D molecular descriptors alone [12]. The integration of machine learning predictions with docking results has shown promise for improving overall prediction accuracy and mechanistic understanding [13].</w:t>
      </w:r>
    </w:p>
    <w:p>
      <w:pPr>
        <w:spacing w:after="120" w:line="360"/>
        <w:jc w:val="left"/>
      </w:pPr>
      <w:r>
        <w:rPr>
          <w:rFonts w:ascii="Times New Roman" w:cs="Times New Roman" w:eastAsia="Times New Roman" w:hAnsi="Times New Roman"/>
          <w:sz w:val="24"/>
          <w:szCs w:val="24"/>
        </w:rPr>
        <w:t xml:space="preserve">In this work, we present MultiEndpointTox, an integrated machine learning platform designed to address these challenges. The platform simultaneously predicts seven critical toxicity endpoints from molecular SMILES representations: hERG channel inhibition (cardiotoxicity), drug-induced liver injury (DILI/hepatotoxicity), drug-induced kidney injury (DIKI/nephrotoxicity), Ames mutagenicity, skin sensitization, general cytotoxicity, and reproductive toxicity. Each prediction is accompanied by SHAP-based feature interpretability, leverage-based applicability domain assessment, and optional molecular docking against relevant protein targets. The platform is deployed as a RESTful API, enabling seamless integration into existing drug discovery workflows and supporting batch processing for high-throughput screening applications.</w:t>
      </w:r>
    </w:p>
    <w:p>
      <w:r>
        <w:br w:type="page"/>
      </w:r>
    </w:p>
    <w:p>
      <w:pPr>
        <w:pStyle w:val="Heading1"/>
        <w:spacing w:before="240" w:after="120"/>
      </w:pPr>
      <w:r>
        <w:rPr>
          <w:rFonts w:ascii="Times New Roman" w:cs="Times New Roman" w:eastAsia="Times New Roman" w:hAnsi="Times New Roman"/>
          <w:b/>
          <w:bCs/>
          <w:sz w:val="28"/>
          <w:szCs w:val="28"/>
        </w:rPr>
        <w:t xml:space="preserve">2. Materials and Methods</w:t>
      </w:r>
    </w:p>
    <w:p>
      <w:pPr>
        <w:spacing w:before="180" w:after="120"/>
      </w:pPr>
      <w:r>
        <w:rPr>
          <w:rFonts w:ascii="Times New Roman" w:cs="Times New Roman" w:eastAsia="Times New Roman" w:hAnsi="Times New Roman"/>
          <w:b/>
          <w:bCs/>
          <w:sz w:val="24"/>
          <w:szCs w:val="24"/>
        </w:rPr>
        <w:t xml:space="preserve">2.1 Data collection and curation</w:t>
      </w:r>
    </w:p>
    <w:p>
      <w:pPr>
        <w:spacing w:after="120" w:line="360"/>
        <w:jc w:val="left"/>
      </w:pPr>
      <w:r>
        <w:rPr>
          <w:rFonts w:ascii="Times New Roman" w:cs="Times New Roman" w:eastAsia="Times New Roman" w:hAnsi="Times New Roman"/>
          <w:sz w:val="24"/>
          <w:szCs w:val="24"/>
        </w:rPr>
        <w:t xml:space="preserve">Training data for each toxicity endpoint were collected from the ChEMBL database (version 34) and supplemented with curated datasets from peer-reviewed literature sources. For the hERG endpoint, bioactivity data were retrieved using target identifier CHEMBL240, filtering for IC50, Ki, and Kd measurements with a minimum confidence score of 8, and converting to pIC50 values for regression modeling. Hepatotoxicity labels were obtained from the DILIrank database and LiverTox resources, supplemented with ChEMBL annotations. Nephrotoxicity data were curated from FDA Drug-Induced Renal Injury List (DIRIL) and literature reports. Ames mutagenicity, skin sensitization, cytotoxicity, and reproductive toxicity datasets were compiled from ChEMBL assay annotations and published benchmark datasets.</w:t>
      </w:r>
    </w:p>
    <w:p>
      <w:pPr>
        <w:spacing w:after="120" w:line="360"/>
        <w:jc w:val="left"/>
      </w:pPr>
      <w:r>
        <w:rPr>
          <w:rFonts w:ascii="Times New Roman" w:cs="Times New Roman" w:eastAsia="Times New Roman" w:hAnsi="Times New Roman"/>
          <w:sz w:val="24"/>
          <w:szCs w:val="24"/>
        </w:rPr>
        <w:t xml:space="preserve">Data curation followed a standardized pipeline for all endpoints. SMILES strings were canonicalized using RDKit, and structures were subjected to salt stripping, charge neutralization, and stereochemistry standardization. Duplicate entries were resolved by retaining the median activity value for compounds with concordant measurements and removing compounds with conflicting annotations. Inorganic compounds and mixtures were excluded. Table 1 summarizes the final dataset sizes for each endpoint.</w:t>
      </w:r>
    </w:p>
    <w:p>
      <w:pPr>
        <w:spacing w:after="120"/>
      </w:pPr>
    </w:p>
    <w:p>
      <w:pPr>
        <w:spacing w:after="120"/>
        <w:jc w:val="center"/>
      </w:pPr>
      <w:r>
        <w:rPr>
          <w:rFonts w:ascii="Times New Roman" w:cs="Times New Roman" w:eastAsia="Times New Roman" w:hAnsi="Times New Roman"/>
          <w:b/>
          <w:bCs/>
          <w:sz w:val="20"/>
          <w:szCs w:val="20"/>
        </w:rPr>
        <w:t xml:space="preserve">Table 1. Summary of curated training datasets for each toxicity endpoint.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100"/>
        <w:gridCol w:w="1700"/>
        <w:gridCol w:w="2200"/>
      </w:tblGrid>
      <w:tr>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Endpoint</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Task Type</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Training Compounds</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Test Compounds</w:t>
            </w:r>
          </w:p>
        </w:tc>
        <w:tc>
          <w:tcPr>
            <w:tcW w:type="dxa" w:w="1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Data Source</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Target Variable</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hERG</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Regression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2,133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ChEMBL</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pIC50</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Hepatotoxicity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Classification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1,057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303</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ChEMBL, DILIrank</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Binary (toxic/non-toxic)</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Nephrotoxicity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Classification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118</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31</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FDA DIRIL, Literature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Binary (toxic/non-toxic)</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Ames mutagenicity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Classification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~120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31</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Literature, ChEMBL</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Binary (mutagenic/non-mutagenic)</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Skin sensitization</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Classification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~50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13</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Literature, ChEMBL</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Binary (sensitizer/non-sensitizer)</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Cytotoxicity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Classification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118</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34</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Literature, ChEMBL</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Binary (cytotoxic/non-cytotoxic)</w:t>
            </w:r>
          </w:p>
        </w:tc>
      </w:tr>
      <w:tr>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Reproductive 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Classification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26</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Literature, FDA</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Binary (toxic/non-toxic)</w:t>
            </w:r>
          </w:p>
        </w:tc>
      </w:tr>
    </w:tbl>
    <w:p>
      <w:pPr>
        <w:spacing w:after="120"/>
      </w:pPr>
    </w:p>
    <w:p>
      <w:pPr>
        <w:spacing w:before="180" w:after="120"/>
      </w:pPr>
      <w:r>
        <w:rPr>
          <w:rFonts w:ascii="Times New Roman" w:cs="Times New Roman" w:eastAsia="Times New Roman" w:hAnsi="Times New Roman"/>
          <w:b/>
          <w:bCs/>
          <w:sz w:val="24"/>
          <w:szCs w:val="24"/>
        </w:rPr>
        <w:t xml:space="preserve">2.2 Molecular descriptor calculation and feature engineering</w:t>
      </w:r>
    </w:p>
    <w:p>
      <w:pPr>
        <w:spacing w:after="120" w:line="360"/>
        <w:jc w:val="left"/>
      </w:pPr>
      <w:r>
        <w:rPr>
          <w:rFonts w:ascii="Times New Roman" w:cs="Times New Roman" w:eastAsia="Times New Roman" w:hAnsi="Times New Roman"/>
          <w:sz w:val="24"/>
          <w:szCs w:val="24"/>
        </w:rPr>
        <w:t xml:space="preserve">Molecular features were computed for each compound using three complementary descriptor types. First, 25 physicochemical descriptors were calculated using the RDKit MoleculeDescriptors module, including molecular weight (MolWt), octanol–water partition coefficient (MolLogP), topological polar surface area (TPSA), hydrogen bond donor and acceptor counts (NumHDonors, NumHAcceptors), number of rotatable bonds (NumRotatableBonds), aromatic ring count (NumAromaticRings), fraction of sp3 carbons (FractionCSP3), Labute accessible surface area (LabuteASA), and molar refractivity (MolMR), among others. These descriptors capture fundamental drug-like properties relevant to toxicity mechanisms.</w:t>
      </w:r>
    </w:p>
    <w:p>
      <w:pPr>
        <w:spacing w:after="120" w:line="360"/>
        <w:jc w:val="left"/>
      </w:pPr>
      <w:r>
        <w:rPr>
          <w:rFonts w:ascii="Times New Roman" w:cs="Times New Roman" w:eastAsia="Times New Roman" w:hAnsi="Times New Roman"/>
          <w:sz w:val="24"/>
          <w:szCs w:val="24"/>
        </w:rPr>
        <w:t xml:space="preserve">Second, Morgan circular fingerprints were generated with a radius of 2 and a bit vector length of 2,048 using the RDKit AllChem module. Morgan fingerprints encode local chemical environments around each atom, capturing substructural features important for biological activity and toxicity. Third, MACCS structural keys (167 bits) were computed using the RDKit MACCSkeys module, providing a standardized set of predefined substructure patterns commonly used in pharmaceutical applications.</w:t>
      </w:r>
    </w:p>
    <w:p>
      <w:pPr>
        <w:spacing w:after="120" w:line="360"/>
        <w:jc w:val="left"/>
      </w:pPr>
      <w:r>
        <w:rPr>
          <w:rFonts w:ascii="Times New Roman" w:cs="Times New Roman" w:eastAsia="Times New Roman" w:hAnsi="Times New Roman"/>
          <w:sz w:val="24"/>
          <w:szCs w:val="24"/>
        </w:rPr>
        <w:t xml:space="preserve">The three descriptor types were concatenated to form a combined feature matrix of approximately 2,240 features per compound. Feature selection was performed in two stages: (1) low-variance features were removed using a variance threshold of 0.01, and (2) highly correlated features (Pearson correlation &gt; 0.95) were pruned, retaining the feature with the highest univariate association with the target variable. This process yielded a final set of 500 selected features per endpoint. Features were standardized using z-score normalization prior to model training.</w:t>
      </w:r>
    </w:p>
    <w:p>
      <w:pPr>
        <w:spacing w:before="180" w:after="120"/>
      </w:pPr>
      <w:r>
        <w:rPr>
          <w:rFonts w:ascii="Times New Roman" w:cs="Times New Roman" w:eastAsia="Times New Roman" w:hAnsi="Times New Roman"/>
          <w:b/>
          <w:bCs/>
          <w:sz w:val="24"/>
          <w:szCs w:val="24"/>
        </w:rPr>
        <w:t xml:space="preserve">2.3 Model development and hyperparameter optimization</w:t>
      </w:r>
    </w:p>
    <w:p>
      <w:pPr>
        <w:spacing w:after="120" w:line="360"/>
        <w:jc w:val="left"/>
      </w:pPr>
      <w:r>
        <w:rPr>
          <w:rFonts w:ascii="Times New Roman" w:cs="Times New Roman" w:eastAsia="Times New Roman" w:hAnsi="Times New Roman"/>
          <w:sz w:val="24"/>
          <w:szCs w:val="24"/>
        </w:rPr>
        <w:t xml:space="preserve">Five machine learning algorithms were evaluated for each endpoint: Random Forest, XGBoost, Support Vector Machine (SVM/SVC/SVR), LightGBM, and, where applicable, optimized variants with hyperparameter tuning. For the hERG regression endpoint, the algorithms were configured for continuous output prediction. For all classification endpoints, models were trained with class probability estimation enabled.</w:t>
      </w:r>
    </w:p>
    <w:p>
      <w:pPr>
        <w:spacing w:after="120" w:line="360"/>
        <w:jc w:val="left"/>
      </w:pPr>
      <w:r>
        <w:rPr>
          <w:rFonts w:ascii="Times New Roman" w:cs="Times New Roman" w:eastAsia="Times New Roman" w:hAnsi="Times New Roman"/>
          <w:sz w:val="24"/>
          <w:szCs w:val="24"/>
        </w:rPr>
        <w:t xml:space="preserve">Hyperparameter optimization was performed using the Optuna framework with 30 trials per algorithm and endpoint combination. The search space included the number of estimators (100, 300, 500), maximum tree depth (3, 6, 9, and unlimited), learning rate (0.01, 0.05, 0.1), subsample ratio (0.7, 0.8, 0.9) for gradient boosting methods, and regularization strength (C = 0.1, 1, 10, 100) and kernel type (RBF, linear) for SVM. The optimization objective was cross-validated AUC-ROC for classification endpoints and R² for the hERG regression endpoint.</w:t>
      </w:r>
    </w:p>
    <w:p>
      <w:pPr>
        <w:spacing w:after="120" w:line="360"/>
        <w:jc w:val="left"/>
      </w:pPr>
      <w:r>
        <w:rPr>
          <w:rFonts w:ascii="Times New Roman" w:cs="Times New Roman" w:eastAsia="Times New Roman" w:hAnsi="Times New Roman"/>
          <w:sz w:val="24"/>
          <w:szCs w:val="24"/>
        </w:rPr>
        <w:t xml:space="preserve">Data were split into training (80%) and test (20%) sets using stratified sampling for classification endpoints to preserve class distributions. Class imbalance was addressed using the Synthetic Minority Over-sampling Technique (SMOTE) applied exclusively to the training set.</w:t>
      </w:r>
    </w:p>
    <w:p>
      <w:pPr>
        <w:spacing w:before="180" w:after="120"/>
      </w:pPr>
      <w:r>
        <w:rPr>
          <w:rFonts w:ascii="Times New Roman" w:cs="Times New Roman" w:eastAsia="Times New Roman" w:hAnsi="Times New Roman"/>
          <w:b/>
          <w:bCs/>
          <w:sz w:val="24"/>
          <w:szCs w:val="24"/>
        </w:rPr>
        <w:t xml:space="preserve">2.4 Model validation and performance assessment</w:t>
      </w:r>
    </w:p>
    <w:p>
      <w:pPr>
        <w:spacing w:after="120" w:line="360"/>
        <w:jc w:val="left"/>
      </w:pPr>
      <w:r>
        <w:rPr>
          <w:rFonts w:ascii="Times New Roman" w:cs="Times New Roman" w:eastAsia="Times New Roman" w:hAnsi="Times New Roman"/>
          <w:sz w:val="24"/>
          <w:szCs w:val="24"/>
        </w:rPr>
        <w:t xml:space="preserve">Model performance was evaluated using a rigorous validation framework. Internal validation employed repeated stratified k-fold cross-validation (5 folds, 3 repeats) on the training data, providing robust estimates of model generalizability and performance variance. External validation was performed on the held-out test set using metrics appropriate to each task type.</w:t>
      </w:r>
    </w:p>
    <w:p>
      <w:pPr>
        <w:spacing w:after="120" w:line="360"/>
        <w:jc w:val="left"/>
      </w:pPr>
      <w:r>
        <w:rPr>
          <w:rFonts w:ascii="Times New Roman" w:cs="Times New Roman" w:eastAsia="Times New Roman" w:hAnsi="Times New Roman"/>
          <w:sz w:val="24"/>
          <w:szCs w:val="24"/>
        </w:rPr>
        <w:t xml:space="preserve">For classification endpoints, performance was assessed using accuracy, balanced accuracy, sensitivity (recall), specificity, precision, F1 score, Matthews Correlation Coefficient (MCC), and Area Under the Receiver Operating Characteristic Curve (AUC-ROC). For the hERG regression endpoint, metrics included coefficient of determination (R²), root mean squared error (RMSE), mean absolute error (MAE), leave-one-out cross-validated Q², and concordance correlation coefficient (CCC). The best model for each endpoint was selected based on the primary metric: AUC-ROC for classification and R² for regression.</w:t>
      </w:r>
    </w:p>
    <w:p>
      <w:pPr>
        <w:spacing w:before="180" w:after="120"/>
      </w:pPr>
      <w:r>
        <w:rPr>
          <w:rFonts w:ascii="Times New Roman" w:cs="Times New Roman" w:eastAsia="Times New Roman" w:hAnsi="Times New Roman"/>
          <w:b/>
          <w:bCs/>
          <w:sz w:val="24"/>
          <w:szCs w:val="24"/>
        </w:rPr>
        <w:t xml:space="preserve">2.5 Applicability domain assessment</w:t>
      </w:r>
    </w:p>
    <w:p>
      <w:pPr>
        <w:spacing w:after="120" w:line="360"/>
        <w:jc w:val="left"/>
      </w:pPr>
      <w:r>
        <w:rPr>
          <w:rFonts w:ascii="Times New Roman" w:cs="Times New Roman" w:eastAsia="Times New Roman" w:hAnsi="Times New Roman"/>
          <w:sz w:val="24"/>
          <w:szCs w:val="24"/>
        </w:rPr>
        <w:t xml:space="preserve">Applicability domain (AD) analysis was implemented using the leverage approach, which quantifies the distance of a query compound from the training data in the descriptor space. The leverage value (h_i) for compound i is calculated as h_i = x_iᵀ(XᵀX)⁻¹x_i, where x_i is the descriptor vector of the query compound and X is the training data matrix. The warning leverage threshold (h*) is defined as h* = 3p/n, where p is the number of features and n is the number of training compounds [10]. Compounds with leverage values exceeding h* are flagged as outside the AD, indicating that predictions should be interpreted with caution. AD coverage was computed as the percentage of test set compounds falling within the defined domain.</w:t>
      </w:r>
    </w:p>
    <w:p>
      <w:pPr>
        <w:spacing w:before="180" w:after="120"/>
      </w:pPr>
      <w:r>
        <w:rPr>
          <w:rFonts w:ascii="Times New Roman" w:cs="Times New Roman" w:eastAsia="Times New Roman" w:hAnsi="Times New Roman"/>
          <w:b/>
          <w:bCs/>
          <w:sz w:val="24"/>
          <w:szCs w:val="24"/>
        </w:rPr>
        <w:t xml:space="preserve">2.6 SHAP-based model interpretability</w:t>
      </w:r>
    </w:p>
    <w:p>
      <w:pPr>
        <w:spacing w:after="120" w:line="360"/>
        <w:jc w:val="left"/>
      </w:pPr>
      <w:r>
        <w:rPr>
          <w:rFonts w:ascii="Times New Roman" w:cs="Times New Roman" w:eastAsia="Times New Roman" w:hAnsi="Times New Roman"/>
          <w:sz w:val="24"/>
          <w:szCs w:val="24"/>
        </w:rPr>
        <w:t xml:space="preserve">Model interpretability was implemented using SHAP (SHapley Additive exPlanations), a game-theoretic approach that assigns each feature a contribution value for a given prediction [8]. For tree-based models (XGBoost, Random Forest, LightGBM), the TreeExplainer was employed, leveraging the tree structure for exact and efficient SHAP value computation. For SVM models, the KernelExplainer was used with a background dataset of 100 randomly sampled training compounds.</w:t>
      </w:r>
    </w:p>
    <w:p>
      <w:pPr>
        <w:spacing w:after="120" w:line="360"/>
        <w:jc w:val="left"/>
      </w:pPr>
      <w:r>
        <w:rPr>
          <w:rFonts w:ascii="Times New Roman" w:cs="Times New Roman" w:eastAsia="Times New Roman" w:hAnsi="Times New Roman"/>
          <w:sz w:val="24"/>
          <w:szCs w:val="24"/>
        </w:rPr>
        <w:t xml:space="preserve">For each prediction, the platform returns the top contributing features ranked by absolute SHAP value, along with their direction of contribution (increasing or decreasing predicted toxicity). This enables identification of specific molecular descriptors, fingerprint substructures, and structural keys that drive individual predictions, supporting mechanistic interpretation and guiding structural optimization. Structural alert detection complements SHAP analysis by screening for known toxicophores using predefined SMARTS patterns.</w:t>
      </w:r>
    </w:p>
    <w:p>
      <w:pPr>
        <w:spacing w:before="180" w:after="120"/>
      </w:pPr>
      <w:r>
        <w:rPr>
          <w:rFonts w:ascii="Times New Roman" w:cs="Times New Roman" w:eastAsia="Times New Roman" w:hAnsi="Times New Roman"/>
          <w:b/>
          <w:bCs/>
          <w:sz w:val="24"/>
          <w:szCs w:val="24"/>
        </w:rPr>
        <w:t xml:space="preserve">2.7 Molecular docking integration</w:t>
      </w:r>
    </w:p>
    <w:p>
      <w:pPr>
        <w:spacing w:after="120" w:line="360"/>
        <w:jc w:val="left"/>
      </w:pPr>
      <w:r>
        <w:rPr>
          <w:rFonts w:ascii="Times New Roman" w:cs="Times New Roman" w:eastAsia="Times New Roman" w:hAnsi="Times New Roman"/>
          <w:sz w:val="24"/>
          <w:szCs w:val="24"/>
        </w:rPr>
        <w:t xml:space="preserve">Molecular docking was integrated as an optional structure-based validation layer using the AutoDock Vina engine. Six protein targets were included based on their relevance to the predicted toxicity endpoints: hERG potassium channel (PDB: 5VA1) for cardiotoxicity, CYP3A4 (PDB: 1TQN), CYP2D6 (PDB: 4WNT), and CYP2C9 (PDB: 1OG5) for hepatotoxicity-related metabolism, and estrogen receptor alpha (PDB: 1ERE) and androgen receptor (PDB: 2AM9) for reproductive toxicity. Protein structures were prepared by removing water molecules and co-crystallized ligands, adding polar hydrogens, and assigning Gasteiger charges. Docking was performed with an exhaustiveness parameter of 8 and 9 binding poses generated per compound.</w:t>
      </w:r>
    </w:p>
    <w:p>
      <w:pPr>
        <w:spacing w:after="120" w:line="360"/>
        <w:jc w:val="left"/>
      </w:pPr>
      <w:r>
        <w:rPr>
          <w:rFonts w:ascii="Times New Roman" w:cs="Times New Roman" w:eastAsia="Times New Roman" w:hAnsi="Times New Roman"/>
          <w:sz w:val="24"/>
          <w:szCs w:val="24"/>
        </w:rPr>
        <w:t xml:space="preserve">An ensemble prediction mode combines ML-based toxicity predictions (weighted at 0.7) with docking-derived binding affinity scores (weighted at 0.3) to produce integrated risk assessments. Binding affinities are classified into risk categories: high risk (&lt; −8.0 kcal/mol), moderate risk (−8.0 to −6.0 kcal/mol), and low risk (&gt; −4.0 kcal/mol).</w:t>
      </w:r>
    </w:p>
    <w:p>
      <w:pPr>
        <w:spacing w:before="180" w:after="120"/>
      </w:pPr>
      <w:r>
        <w:rPr>
          <w:rFonts w:ascii="Times New Roman" w:cs="Times New Roman" w:eastAsia="Times New Roman" w:hAnsi="Times New Roman"/>
          <w:b/>
          <w:bCs/>
          <w:sz w:val="24"/>
          <w:szCs w:val="24"/>
        </w:rPr>
        <w:t xml:space="preserve">2.8 Three-dimensional descriptors and pharmacophore analysis</w:t>
      </w:r>
    </w:p>
    <w:p>
      <w:pPr>
        <w:spacing w:after="120" w:line="360"/>
        <w:jc w:val="left"/>
      </w:pPr>
      <w:r>
        <w:rPr>
          <w:rFonts w:ascii="Times New Roman" w:cs="Times New Roman" w:eastAsia="Times New Roman" w:hAnsi="Times New Roman"/>
          <w:sz w:val="24"/>
          <w:szCs w:val="24"/>
        </w:rPr>
        <w:t xml:space="preserve">Three-dimensional molecular descriptors were computed from energy-minimized 3D conformers generated using the RDKit ETKDG (Experimental-Torsion Knowledge Distance Geometry) algorithm. Shape descriptors included asphericity, eccentricity, principal moment of inertia (PMI) ratios, and spherocity index. Surface descriptors included topological polar surface area (TPSA) and solvent-accessible surface area (SASA). Pharmacophore features were extracted including counts of hydrogen bond acceptors, hydrogen bond donors, aromatic features, hydrophobic regions, and ionizable groups. Pharmacophore similarity between compounds was quantified for comparative analysis.</w:t>
      </w:r>
    </w:p>
    <w:p>
      <w:pPr>
        <w:spacing w:before="180" w:after="120"/>
      </w:pPr>
      <w:r>
        <w:rPr>
          <w:rFonts w:ascii="Times New Roman" w:cs="Times New Roman" w:eastAsia="Times New Roman" w:hAnsi="Times New Roman"/>
          <w:b/>
          <w:bCs/>
          <w:sz w:val="24"/>
          <w:szCs w:val="24"/>
        </w:rPr>
        <w:t xml:space="preserve">2.9 Software implementation and API deployment</w:t>
      </w:r>
    </w:p>
    <w:p>
      <w:pPr>
        <w:spacing w:after="120" w:line="360"/>
        <w:jc w:val="left"/>
      </w:pPr>
      <w:r>
        <w:rPr>
          <w:rFonts w:ascii="Times New Roman" w:cs="Times New Roman" w:eastAsia="Times New Roman" w:hAnsi="Times New Roman"/>
          <w:sz w:val="24"/>
          <w:szCs w:val="24"/>
        </w:rPr>
        <w:t xml:space="preserve">The platform was implemented in Python 3.12 using scikit-learn (1.3+), XGBoost (2.0+), LightGBM (4.0+), and RDKit (2023.3+) for model training and molecular computations. SHAP (0.42+) was used for model interpretability. The REST API was built using the FastAPI framework (0.104+) with Pydantic data validation. The API supports multiple prediction modes: single compound/single endpoint, single compound/multi-endpoint, batch prediction (up to 1,000 compounds), and integrated prediction with full interpretation. API documentation is auto-generated using OpenAPI (Swagger UI) and ReDoc. The platform is containerized using Docker for reproducible deployment.</w:t>
      </w:r>
    </w:p>
    <w:p>
      <w:r>
        <w:br w:type="page"/>
      </w:r>
    </w:p>
    <w:p>
      <w:pPr>
        <w:pStyle w:val="Heading1"/>
        <w:spacing w:before="240" w:after="120"/>
      </w:pPr>
      <w:r>
        <w:rPr>
          <w:rFonts w:ascii="Times New Roman" w:cs="Times New Roman" w:eastAsia="Times New Roman" w:hAnsi="Times New Roman"/>
          <w:b/>
          <w:bCs/>
          <w:sz w:val="28"/>
          <w:szCs w:val="28"/>
        </w:rPr>
        <w:t xml:space="preserve">3. Results</w:t>
      </w:r>
    </w:p>
    <w:p>
      <w:pPr>
        <w:spacing w:before="180" w:after="120"/>
      </w:pPr>
      <w:r>
        <w:rPr>
          <w:rFonts w:ascii="Times New Roman" w:cs="Times New Roman" w:eastAsia="Times New Roman" w:hAnsi="Times New Roman"/>
          <w:b/>
          <w:bCs/>
          <w:sz w:val="24"/>
          <w:szCs w:val="24"/>
        </w:rPr>
        <w:t xml:space="preserve">3.1 Classification model performance</w:t>
      </w:r>
    </w:p>
    <w:p>
      <w:pPr>
        <w:spacing w:after="120" w:line="360"/>
        <w:jc w:val="left"/>
      </w:pPr>
      <w:r>
        <w:rPr>
          <w:rFonts w:ascii="Times New Roman" w:cs="Times New Roman" w:eastAsia="Times New Roman" w:hAnsi="Times New Roman"/>
          <w:sz w:val="24"/>
          <w:szCs w:val="24"/>
        </w:rPr>
        <w:t xml:space="preserve">Five machine learning algorithms were evaluated for each classification endpoint. Table 2 presents the test set performance of the best-performing model for each endpoint. Across the five classification endpoints, AUC-ROC values ranged from 0.79 (hepatotoxicity) to 0.94 (cytotoxicity). The hepatotoxicity model achieved the highest accuracy (92.7%) and sensitivity (97.9%), reflecting its conservative bias toward identifying potentially toxic compounds, which is appropriate for safety screening. The Ames mutagenicity model achieved 100% specificity with no false positives in the test set. The cytotoxicity model demonstrated the highest overall discriminative ability with an AUC of 0.94.</w:t>
      </w:r>
    </w:p>
    <w:p>
      <w:pPr>
        <w:spacing w:after="120"/>
      </w:pPr>
    </w:p>
    <w:p>
      <w:pPr>
        <w:spacing w:after="120"/>
        <w:jc w:val="center"/>
      </w:pPr>
      <w:r>
        <w:rPr>
          <w:rFonts w:ascii="Times New Roman" w:cs="Times New Roman" w:eastAsia="Times New Roman" w:hAnsi="Times New Roman"/>
          <w:b/>
          <w:bCs/>
          <w:sz w:val="20"/>
          <w:szCs w:val="20"/>
        </w:rPr>
        <w:t xml:space="preserve">Table 2. Test set performance of best-performing classification models.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000"/>
        <w:gridCol w:w="1000"/>
        <w:gridCol w:w="600"/>
        <w:gridCol w:w="900"/>
        <w:gridCol w:w="600"/>
      </w:tblGrid>
      <w:tr>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Endpoint</w:t>
            </w:r>
          </w:p>
        </w:tc>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Best Model</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Accuracy</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Sensitivity</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Specificity</w:t>
            </w:r>
          </w:p>
        </w:tc>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F1</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AUC-ROC</w:t>
            </w:r>
          </w:p>
        </w:tc>
        <w:tc>
          <w:tcPr>
            <w:tcW w:type="dxa" w:w="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MCC</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Hepatotoxicity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XGBoost</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0.927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0.979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0.238</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0.962</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0.791</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0.294</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Nephrotoxicity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SVC</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0.806</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0.545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0.950</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0.667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0.868</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0.567</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Ames mutagenicity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RandomForest</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0.935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0.500</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1.000</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0.667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0.852</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0.682</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Skin sensitization</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RandomForest</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0.846</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0.667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0.900</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0.667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0.800</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0.567</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Cytotoxicity</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XGBoost Opt.</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0.824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0.615</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0.952</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0.727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0.916</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0.625</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Reproductive tox.</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SVC</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0.769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0.917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0.643</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0.786</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0.929</w:t>
            </w:r>
          </w:p>
        </w:tc>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0.573</w:t>
            </w:r>
          </w:p>
        </w:tc>
      </w:tr>
    </w:tbl>
    <w:p>
      <w:pPr>
        <w:spacing w:after="120"/>
      </w:pPr>
    </w:p>
    <w:p>
      <w:pPr>
        <w:spacing w:before="180" w:after="120"/>
      </w:pPr>
      <w:r>
        <w:rPr>
          <w:rFonts w:ascii="Times New Roman" w:cs="Times New Roman" w:eastAsia="Times New Roman" w:hAnsi="Times New Roman"/>
          <w:b/>
          <w:bCs/>
          <w:sz w:val="24"/>
          <w:szCs w:val="24"/>
        </w:rPr>
        <w:t xml:space="preserve">3.2 Cross-validation performance</w:t>
      </w:r>
    </w:p>
    <w:p>
      <w:pPr>
        <w:spacing w:after="120" w:line="360"/>
        <w:jc w:val="left"/>
      </w:pPr>
      <w:r>
        <w:rPr>
          <w:rFonts w:ascii="Times New Roman" w:cs="Times New Roman" w:eastAsia="Times New Roman" w:hAnsi="Times New Roman"/>
          <w:sz w:val="24"/>
          <w:szCs w:val="24"/>
        </w:rPr>
        <w:t xml:space="preserve">Repeated stratified 5-fold cross-validation (3 repeats) provided robust estimates of model generalizability. Table 3 summarizes the cross-validation results for the best model selected for each endpoint. Cross-validated AUC-ROC values were generally consistent with or higher than test set values, supporting model stability. The Ames mutagenicity endpoint showed the highest cross-validated AUC (0.94 ± 0.05), while the cytotoxicity SVC model demonstrated the lowest performance variance (AUC 0.91 ± 0.03), suggesting consistent performance across data partitions.</w:t>
      </w:r>
    </w:p>
    <w:p>
      <w:pPr>
        <w:spacing w:after="120"/>
      </w:pPr>
    </w:p>
    <w:p>
      <w:pPr>
        <w:spacing w:after="120"/>
        <w:jc w:val="center"/>
      </w:pPr>
      <w:r>
        <w:rPr>
          <w:rFonts w:ascii="Times New Roman" w:cs="Times New Roman" w:eastAsia="Times New Roman" w:hAnsi="Times New Roman"/>
          <w:b/>
          <w:bCs/>
          <w:sz w:val="20"/>
          <w:szCs w:val="20"/>
        </w:rPr>
        <w:t xml:space="preserve">Table 3. Repeated stratified 5-fold cross-validation results (mean ± standard deviation).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400"/>
        <w:gridCol w:w="1700"/>
      </w:tblGrid>
      <w:tr>
        <w:tc>
          <w:tcPr>
            <w:tcW w:type="dxa" w:w="1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Endpoint</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Best Model</w:t>
            </w:r>
          </w:p>
        </w:tc>
        <w:tc>
          <w:tcPr>
            <w:tcW w:type="dxa" w:w="1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CV Accuracy</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CV F1</w:t>
            </w:r>
          </w:p>
        </w:tc>
        <w:tc>
          <w:tcPr>
            <w:tcW w:type="dxa" w:w="1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CV AUC-ROC</w:t>
            </w:r>
          </w:p>
        </w:tc>
      </w:tr>
      <w:tr>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Hepatotoxicity</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XGBoost</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0.923 ± 0.006</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0.960 ± 0.003</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0.677 ± 0.077</w:t>
            </w:r>
          </w:p>
        </w:tc>
      </w:tr>
      <w:tr>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Nephrotoxicity</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RF Baseline</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0.819 ± 0.054</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0.674 ± 0.138</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0.894 ± 0.048</w:t>
            </w:r>
          </w:p>
        </w:tc>
      </w:tr>
      <w:tr>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Ames mutagenicity</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RF Baseline</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0.896 ± 0.065</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0.792 ± 0.143</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0.940 ± 0.051</w:t>
            </w:r>
          </w:p>
        </w:tc>
      </w:tr>
      <w:tr>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Skin sensitization</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RF Baseline</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0.759 ± 0.115</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0.617 ± 0.233</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0.874 ± 0.090</w:t>
            </w:r>
          </w:p>
        </w:tc>
      </w:tr>
      <w:tr>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Cytotoxicity</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SVC</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0.874 ± 0.057</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0.798 ± 0.084</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0.905 ± 0.032</w:t>
            </w:r>
          </w:p>
        </w:tc>
      </w:tr>
      <w:tr>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Reproductive tox.</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SVC</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0.746 ± 0.084</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0.807 ± 0.072</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0.804 ± 0.100</w:t>
            </w:r>
          </w:p>
        </w:tc>
      </w:tr>
    </w:tbl>
    <w:p>
      <w:pPr>
        <w:spacing w:after="120"/>
      </w:pPr>
    </w:p>
    <w:p>
      <w:pPr>
        <w:spacing w:before="180" w:after="120"/>
      </w:pPr>
      <w:r>
        <w:rPr>
          <w:rFonts w:ascii="Times New Roman" w:cs="Times New Roman" w:eastAsia="Times New Roman" w:hAnsi="Times New Roman"/>
          <w:b/>
          <w:bCs/>
          <w:sz w:val="24"/>
          <w:szCs w:val="24"/>
        </w:rPr>
        <w:t xml:space="preserve">3.3 hERG regression model performance</w:t>
      </w:r>
    </w:p>
    <w:p>
      <w:pPr>
        <w:spacing w:after="120" w:line="360"/>
        <w:jc w:val="left"/>
      </w:pPr>
      <w:r>
        <w:rPr>
          <w:rFonts w:ascii="Times New Roman" w:cs="Times New Roman" w:eastAsia="Times New Roman" w:hAnsi="Times New Roman"/>
          <w:sz w:val="24"/>
          <w:szCs w:val="24"/>
        </w:rPr>
        <w:t xml:space="preserve">The hERG cardiotoxicity endpoint was modeled as a regression task predicting pIC50 values. Table 4 presents the performance of all evaluated algorithms. The SVR baseline model achieved the best test set R² of 0.62 with RMSE of 0.54, while the XGBoost optimized model showed comparable performance (R² = 0.58, RMSE = 0.57). Cross-validation confirmed consistent performance, with the SVR model achieving CV R² of 0.65 ± 0.02. The training dataset comprised 2,133 compounds from ChEMBL, making it the largest single-endpoint dataset in the platform.</w:t>
      </w:r>
    </w:p>
    <w:p>
      <w:pPr>
        <w:spacing w:after="120"/>
      </w:pPr>
    </w:p>
    <w:p>
      <w:pPr>
        <w:spacing w:after="120"/>
        <w:jc w:val="center"/>
      </w:pPr>
      <w:r>
        <w:rPr>
          <w:rFonts w:ascii="Times New Roman" w:cs="Times New Roman" w:eastAsia="Times New Roman" w:hAnsi="Times New Roman"/>
          <w:b/>
          <w:bCs/>
          <w:sz w:val="20"/>
          <w:szCs w:val="20"/>
        </w:rPr>
        <w:t xml:space="preserve">Table 4. Model comparison for hERG regression endpoint (pIC50 prediction).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900"/>
        <w:gridCol w:w="800"/>
        <w:gridCol w:w="800"/>
        <w:gridCol w:w="1800"/>
      </w:tblGrid>
      <w:tr>
        <w:tc>
          <w:tcPr>
            <w:tcW w:type="dxa" w:w="16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Model</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R²</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RMSE</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MAE</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Q²</w:t>
            </w:r>
          </w:p>
        </w:tc>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CCC</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CV R²</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SVR Baseline</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0.621</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0.537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0.388</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0.621</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0.775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0.650 ± 0.018</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XGBoost Optimized</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0.581</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0.565</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0.406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0.581</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0.728</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0.624 ± 0.020</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XGBoost Baseline</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0.568</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0.573</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0.416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0.568</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0.715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0.614 ± 0.023</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LightGBM</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0.546</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0.588</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0.427</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0.546</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0.696</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0.592 ± 0.023</w:t>
            </w:r>
          </w:p>
        </w:tc>
      </w:tr>
      <w:tr>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Random Forest</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0.527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0.600</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0.434</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0.527</w:t>
            </w:r>
          </w:p>
        </w:tc>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0.669</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0.571 ± 0.020</w:t>
            </w:r>
          </w:p>
        </w:tc>
      </w:tr>
    </w:tbl>
    <w:p>
      <w:pPr>
        <w:spacing w:after="120"/>
      </w:pPr>
    </w:p>
    <w:p>
      <w:pPr>
        <w:spacing w:before="180" w:after="120"/>
      </w:pPr>
      <w:r>
        <w:rPr>
          <w:rFonts w:ascii="Times New Roman" w:cs="Times New Roman" w:eastAsia="Times New Roman" w:hAnsi="Times New Roman"/>
          <w:b/>
          <w:bCs/>
          <w:sz w:val="24"/>
          <w:szCs w:val="24"/>
        </w:rPr>
        <w:t xml:space="preserve">3.4 Applicability domain analysis</w:t>
      </w:r>
    </w:p>
    <w:p>
      <w:pPr>
        <w:spacing w:after="120" w:line="360"/>
        <w:jc w:val="left"/>
      </w:pPr>
      <w:r>
        <w:rPr>
          <w:rFonts w:ascii="Times New Roman" w:cs="Times New Roman" w:eastAsia="Times New Roman" w:hAnsi="Times New Roman"/>
          <w:sz w:val="24"/>
          <w:szCs w:val="24"/>
        </w:rPr>
        <w:t xml:space="preserve">Leverage-based applicability domain analysis was performed for all endpoints. Table 5 summarizes the AD coverage for each test set. The Ames, skin sensitization, cytotoxicity, and reproductive toxicity endpoints achieved 100% AD coverage, indicating that all test compounds fell within the training data chemical space. The hERG endpoint showed 98.9% coverage with only 24 outlier compounds. The hepatotoxicity endpoint had the lowest AD coverage at 78.9%, reflecting the greater structural diversity in the hepatotoxicity test set relative to the training data. Compounds identified as outside the AD are flagged in API responses with reduced confidence scores.</w:t>
      </w:r>
    </w:p>
    <w:p>
      <w:pPr>
        <w:spacing w:after="120"/>
      </w:pPr>
    </w:p>
    <w:p>
      <w:pPr>
        <w:spacing w:after="120"/>
        <w:jc w:val="center"/>
      </w:pPr>
      <w:r>
        <w:rPr>
          <w:rFonts w:ascii="Times New Roman" w:cs="Times New Roman" w:eastAsia="Times New Roman" w:hAnsi="Times New Roman"/>
          <w:b/>
          <w:bCs/>
          <w:sz w:val="20"/>
          <w:szCs w:val="20"/>
        </w:rPr>
        <w:t xml:space="preserve">Table 5. Applicability domain coverage for each endpoint.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500"/>
        <w:gridCol w:w="11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Endpoint</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AD Method</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Coverage (%)</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Threshold (h*)</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Outliers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hERG</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98.9</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0.201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24</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Hepatotoxicity</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78.9</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1.422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64</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Nephrotoxicity</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93.5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14.314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Ames mutagenicity</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14.179</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Skin sensitization</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30.8</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21.750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9</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Cytotoxicity</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12.737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Reproductive tox.</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Leverage</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100.0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17.080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sz w:val="20"/>
                <w:szCs w:val="20"/>
              </w:rPr>
              <w:t xml:space="preserve">0</w:t>
            </w:r>
          </w:p>
        </w:tc>
      </w:tr>
    </w:tbl>
    <w:p>
      <w:pPr>
        <w:spacing w:after="120"/>
      </w:pPr>
    </w:p>
    <w:p>
      <w:pPr>
        <w:spacing w:before="180" w:after="120"/>
      </w:pPr>
      <w:r>
        <w:rPr>
          <w:rFonts w:ascii="Times New Roman" w:cs="Times New Roman" w:eastAsia="Times New Roman" w:hAnsi="Times New Roman"/>
          <w:b/>
          <w:bCs/>
          <w:sz w:val="24"/>
          <w:szCs w:val="24"/>
        </w:rPr>
        <w:t xml:space="preserve">3.5 SHAP interpretability analysis</w:t>
      </w:r>
    </w:p>
    <w:p>
      <w:pPr>
        <w:spacing w:after="120" w:line="360"/>
        <w:jc w:val="left"/>
      </w:pPr>
      <w:r>
        <w:rPr>
          <w:rFonts w:ascii="Times New Roman" w:cs="Times New Roman" w:eastAsia="Times New Roman" w:hAnsi="Times New Roman"/>
          <w:sz w:val="24"/>
          <w:szCs w:val="24"/>
        </w:rPr>
        <w:t xml:space="preserve">SHAP analysis was performed for all model predictions, providing feature-level explanations. For the hepatotoxicity endpoint, Morgan fingerprint bits corresponding to aromatic amine and quinone substructures consistently appeared among the top contributing features, aligning with known hepatotoxic structural alerts. For the hERG endpoint, lipophilicity-related descriptors (MolLogP, LabuteASA) and aromatic features showed the strongest SHAP contributions, consistent with established structure–activity relationships for hERG channel inhibition.</w:t>
      </w:r>
    </w:p>
    <w:p>
      <w:pPr>
        <w:spacing w:after="120" w:line="360"/>
        <w:jc w:val="left"/>
      </w:pPr>
      <w:r>
        <w:rPr>
          <w:rFonts w:ascii="Times New Roman" w:cs="Times New Roman" w:eastAsia="Times New Roman" w:hAnsi="Times New Roman"/>
          <w:sz w:val="24"/>
          <w:szCs w:val="24"/>
        </w:rPr>
        <w:t xml:space="preserve">The platform returns the top-k contributing features (configurable, default k = 5) for each prediction, along with the direction and magnitude of their SHAP values. Features with positive SHAP values indicate contributions toward increased predicted toxicity, while negative values indicate protective contributions. This granular interpretability enables medicinal chemists to identify specific structural modifications that may reduce toxicity liability.</w:t>
      </w:r>
    </w:p>
    <w:p>
      <w:pPr>
        <w:spacing w:before="180" w:after="120"/>
      </w:pPr>
      <w:r>
        <w:rPr>
          <w:rFonts w:ascii="Times New Roman" w:cs="Times New Roman" w:eastAsia="Times New Roman" w:hAnsi="Times New Roman"/>
          <w:b/>
          <w:bCs/>
          <w:sz w:val="24"/>
          <w:szCs w:val="24"/>
        </w:rPr>
        <w:t xml:space="preserve">3.6 Integrated risk assessment</w:t>
      </w:r>
    </w:p>
    <w:p>
      <w:pPr>
        <w:spacing w:after="120" w:line="360"/>
        <w:jc w:val="left"/>
      </w:pPr>
      <w:r>
        <w:rPr>
          <w:rFonts w:ascii="Times New Roman" w:cs="Times New Roman" w:eastAsia="Times New Roman" w:hAnsi="Times New Roman"/>
          <w:sz w:val="24"/>
          <w:szCs w:val="24"/>
        </w:rPr>
        <w:t xml:space="preserve">The integrated prediction mode provides a comprehensive safety profile by combining predictions across all endpoints. An overall risk score is computed as a weighted average of individual endpoint predictions, with weights reflecting the clinical severity and regulatory importance of each endpoint. Compounds are classified into risk categories (low, moderate, high) based on the overall score, with the critical endpoint (the highest-risk individual prediction) explicitly identified. For example, acetaminophen (SMILES: CC(=O)Nc1ccc(O)cc1) was correctly identified as having high hepatotoxicity risk (probability 0.81) while showing low risk for nephrotoxicity and mutagenicity, consistent with its known clinical safety profile.</w:t>
      </w:r>
    </w:p>
    <w:p>
      <w:r>
        <w:br w:type="page"/>
      </w:r>
    </w:p>
    <w:p>
      <w:pPr>
        <w:pStyle w:val="Heading1"/>
        <w:spacing w:before="240" w:after="120"/>
      </w:pPr>
      <w:r>
        <w:rPr>
          <w:rFonts w:ascii="Times New Roman" w:cs="Times New Roman" w:eastAsia="Times New Roman" w:hAnsi="Times New Roman"/>
          <w:b/>
          <w:bCs/>
          <w:sz w:val="28"/>
          <w:szCs w:val="28"/>
        </w:rPr>
        <w:t xml:space="preserve">4. Discussion</w:t>
      </w:r>
    </w:p>
    <w:p>
      <w:pPr>
        <w:spacing w:after="120" w:line="360"/>
        <w:jc w:val="left"/>
      </w:pPr>
      <w:r>
        <w:rPr>
          <w:rFonts w:ascii="Times New Roman" w:cs="Times New Roman" w:eastAsia="Times New Roman" w:hAnsi="Times New Roman"/>
          <w:sz w:val="24"/>
          <w:szCs w:val="24"/>
        </w:rPr>
        <w:t xml:space="preserve">MultiEndpointTox represents an integrated approach to computational toxicity prediction that addresses several key limitations of existing tools. By combining multiple toxicity endpoints within a single platform, it enables comprehensive safety assessment without the need to query disparate resources. The incorporation of SHAP interpretability transforms predictions from opaque scores into actionable mechanistic insights, while applicability domain assessment provides users with explicit measures of prediction reliability.</w:t>
      </w:r>
    </w:p>
    <w:p>
      <w:pPr>
        <w:spacing w:after="120" w:line="360"/>
        <w:jc w:val="left"/>
      </w:pPr>
      <w:r>
        <w:rPr>
          <w:rFonts w:ascii="Times New Roman" w:cs="Times New Roman" w:eastAsia="Times New Roman" w:hAnsi="Times New Roman"/>
          <w:sz w:val="24"/>
          <w:szCs w:val="24"/>
        </w:rPr>
        <w:t xml:space="preserve">The performance metrics achieved by the platform compare favorably with published benchmarks for individual endpoints. The hERG regression model (R² = 0.62, CV R² = 0.65) is consistent with recent literature reports for pIC50 prediction, where R² values typically range from 0.55 to 0.75 depending on dataset size and chemical diversity [14]. The hepatotoxicity classifier achieved high sensitivity (97.9%) at the cost of low specificity (23.8%), reflecting the severe class imbalance in the training data (93% toxic compounds). This conservative bias is intentional for safety screening, where missing a true toxic compound (false negative) carries greater risk than flagging a safe compound (false positive) [15].</w:t>
      </w:r>
    </w:p>
    <w:p>
      <w:pPr>
        <w:spacing w:after="120" w:line="360"/>
        <w:jc w:val="left"/>
      </w:pPr>
      <w:r>
        <w:rPr>
          <w:rFonts w:ascii="Times New Roman" w:cs="Times New Roman" w:eastAsia="Times New Roman" w:hAnsi="Times New Roman"/>
          <w:sz w:val="24"/>
          <w:szCs w:val="24"/>
        </w:rPr>
        <w:t xml:space="preserve">Several endpoints benefited from relatively small but highly curated training datasets. The Ames mutagenicity model achieved excellent cross-validated performance (AUC = 0.94 ± 0.05) despite a training set of approximately 120 compounds, suggesting that the selected molecular features effectively capture the relevant structure–mutagenicity relationships. Similarly, the cytotoxicity SVC model showed strong cross-validation consistency (AUC = 0.91 ± 0.03), outperforming tree-based models for this endpoint.</w:t>
      </w:r>
    </w:p>
    <w:p>
      <w:pPr>
        <w:spacing w:after="120" w:line="360"/>
        <w:jc w:val="left"/>
      </w:pPr>
      <w:r>
        <w:rPr>
          <w:rFonts w:ascii="Times New Roman" w:cs="Times New Roman" w:eastAsia="Times New Roman" w:hAnsi="Times New Roman"/>
          <w:sz w:val="24"/>
          <w:szCs w:val="24"/>
        </w:rPr>
        <w:t xml:space="preserve">The molecular docking integration provides a complementary mechanistic layer that goes beyond statistical pattern recognition. By simulating compound binding to known toxicity-relevant targets, the platform can identify potential mechanisms of action and provide structure-based evidence to support or refine ML predictions. The ensemble prediction mode, which combines ML scores (weight 0.7) with docking affinities (weight 0.3), offers a multi-evidence approach to risk assessment that may be particularly valuable when individual methods disagree.</w:t>
      </w:r>
    </w:p>
    <w:p>
      <w:pPr>
        <w:spacing w:before="180" w:after="120"/>
      </w:pPr>
      <w:r>
        <w:rPr>
          <w:rFonts w:ascii="Times New Roman" w:cs="Times New Roman" w:eastAsia="Times New Roman" w:hAnsi="Times New Roman"/>
          <w:b/>
          <w:bCs/>
          <w:sz w:val="24"/>
          <w:szCs w:val="24"/>
        </w:rPr>
        <w:t xml:space="preserve">4.1 Limitations and future directions</w:t>
      </w:r>
    </w:p>
    <w:p>
      <w:pPr>
        <w:spacing w:after="120" w:line="360"/>
        <w:jc w:val="left"/>
      </w:pPr>
      <w:r>
        <w:rPr>
          <w:rFonts w:ascii="Times New Roman" w:cs="Times New Roman" w:eastAsia="Times New Roman" w:hAnsi="Times New Roman"/>
          <w:sz w:val="24"/>
          <w:szCs w:val="24"/>
        </w:rPr>
        <w:t xml:space="preserve">Several limitations should be noted. First, the training datasets for nephrotoxicity, skin sensitization, and cytotoxicity are relatively small (50–118 compounds), which limits the chemical diversity the models can capture and may affect generalizability to structurally dissimilar compounds. Expanding these datasets through integration of additional sources such as ToxCast, Tox21, and DrugBank is an important priority. Second, the hepatotoxicity model suffers from significant class imbalance, resulting in low specificity. Addressing this through advanced sampling strategies, cost-sensitive learning, or alternative training data compositions could improve the balance between sensitivity and specificity.</w:t>
      </w:r>
    </w:p>
    <w:p>
      <w:pPr>
        <w:spacing w:after="120" w:line="360"/>
        <w:jc w:val="left"/>
      </w:pPr>
      <w:r>
        <w:rPr>
          <w:rFonts w:ascii="Times New Roman" w:cs="Times New Roman" w:eastAsia="Times New Roman" w:hAnsi="Times New Roman"/>
          <w:sz w:val="24"/>
          <w:szCs w:val="24"/>
        </w:rPr>
        <w:t xml:space="preserve">Third, the current platform relies on 2D molecular descriptors and fingerprints, which may not capture all relevant three-dimensional structural features. While 3D descriptors are computed for supplementary analysis, they are not yet incorporated into the primary prediction models. Future work should evaluate the potential performance gains from including 3D descriptors and graph neural network (GNN) architectures that can learn directly from molecular graphs. Additionally, extending the endpoint panel to include phospholipidosis, phototoxicity, and mitochondrial toxicity would further enhance the platform’s utility for comprehensive safety assessment.</w:t>
      </w:r>
    </w:p>
    <w:p>
      <w:pPr>
        <w:spacing w:after="120" w:line="360"/>
        <w:jc w:val="left"/>
      </w:pPr>
      <w:r>
        <w:rPr>
          <w:rFonts w:ascii="Times New Roman" w:cs="Times New Roman" w:eastAsia="Times New Roman" w:hAnsi="Times New Roman"/>
          <w:sz w:val="24"/>
          <w:szCs w:val="24"/>
        </w:rPr>
        <w:t xml:space="preserve">Finally, the relatively small test sets for some endpoints (e.g., 13 compounds for skin sensitization) limit the statistical power of external validation. Collaborative efforts to assemble larger benchmark datasets with standardized annotations would benefit the entire computational toxicology community.</w:t>
      </w:r>
    </w:p>
    <w:p>
      <w:r>
        <w:br w:type="page"/>
      </w:r>
    </w:p>
    <w:p>
      <w:pPr>
        <w:pStyle w:val="Heading1"/>
        <w:spacing w:before="240" w:after="120"/>
      </w:pPr>
      <w:r>
        <w:rPr>
          <w:rFonts w:ascii="Times New Roman" w:cs="Times New Roman" w:eastAsia="Times New Roman" w:hAnsi="Times New Roman"/>
          <w:b/>
          <w:bCs/>
          <w:sz w:val="28"/>
          <w:szCs w:val="28"/>
        </w:rPr>
        <w:t xml:space="preserve">5. Conclusions</w:t>
      </w:r>
    </w:p>
    <w:p>
      <w:pPr>
        <w:spacing w:after="120" w:line="360"/>
        <w:jc w:val="left"/>
      </w:pPr>
      <w:r>
        <w:rPr>
          <w:rFonts w:ascii="Times New Roman" w:cs="Times New Roman" w:eastAsia="Times New Roman" w:hAnsi="Times New Roman"/>
          <w:sz w:val="24"/>
          <w:szCs w:val="24"/>
        </w:rPr>
        <w:t xml:space="preserve">We have developed MultiEndpointTox, an integrated machine learning platform for predicting seven critical drug toxicity endpoints from molecular structures. The platform provides SHAP-based feature interpretability for every prediction, leverage-based applicability domain assessment, structural alert detection, and optional molecular docking against relevant protein targets. Cross-validated AUC-ROC values ranged from 0.63 to 0.95 across classification endpoints, with the hERG regression model achieving R² = 0.65. The platform is deployed as a RESTful API supporting single, multi-endpoint, batch, and integrated prediction modes, enabling seamless integration into drug discovery workflows. MultiEndpointTox addresses the need for comprehensive, interpretable, and accessible computational tools for early-stage drug safety assessment, and is freely available as open-source software.</w:t>
      </w:r>
    </w:p>
    <w:p>
      <w:pPr>
        <w:pStyle w:val="Heading1"/>
        <w:spacing w:before="240" w:after="120"/>
      </w:pPr>
      <w:r>
        <w:rPr>
          <w:rFonts w:ascii="Times New Roman" w:cs="Times New Roman" w:eastAsia="Times New Roman" w:hAnsi="Times New Roman"/>
          <w:b/>
          <w:bCs/>
          <w:sz w:val="28"/>
          <w:szCs w:val="28"/>
        </w:rPr>
        <w:t xml:space="preserve">CRediT Author Contribution Statement</w:t>
      </w:r>
    </w:p>
    <w:p>
      <w:pPr>
        <w:spacing w:after="120" w:line="360"/>
        <w:jc w:val="left"/>
      </w:pPr>
      <w:r>
        <w:rPr>
          <w:rFonts w:ascii="Times New Roman" w:cs="Times New Roman" w:eastAsia="Times New Roman" w:hAnsi="Times New Roman"/>
          <w:b/>
          <w:bCs/>
          <w:sz w:val="24"/>
          <w:szCs w:val="24"/>
        </w:rPr>
        <w:t xml:space="preserve">Sharhabil Eltahir: </w:t>
      </w:r>
      <w:r>
        <w:rPr>
          <w:rFonts w:ascii="Times New Roman" w:cs="Times New Roman" w:eastAsia="Times New Roman" w:hAnsi="Times New Roman"/>
          <w:sz w:val="24"/>
          <w:szCs w:val="24"/>
        </w:rPr>
        <w:t xml:space="preserve">Conceptualization, Methodology, Software, Validation, Formal analysis, Investigation, Data curation, Writing – original draft, Writing – review and editing, Visualization.</w:t>
      </w:r>
    </w:p>
    <w:p>
      <w:pPr>
        <w:pStyle w:val="Heading1"/>
        <w:spacing w:before="240" w:after="120"/>
      </w:pPr>
      <w:r>
        <w:rPr>
          <w:rFonts w:ascii="Times New Roman" w:cs="Times New Roman" w:eastAsia="Times New Roman" w:hAnsi="Times New Roman"/>
          <w:b/>
          <w:bCs/>
          <w:sz w:val="28"/>
          <w:szCs w:val="28"/>
        </w:rPr>
        <w:t xml:space="preserve">Declaration of Competing Interests</w:t>
      </w:r>
    </w:p>
    <w:p>
      <w:pPr>
        <w:spacing w:after="120" w:line="360"/>
        <w:jc w:val="left"/>
      </w:pPr>
      <w:r>
        <w:rPr>
          <w:rFonts w:ascii="Times New Roman" w:cs="Times New Roman" w:eastAsia="Times New Roman" w:hAnsi="Times New Roman"/>
          <w:sz w:val="24"/>
          <w:szCs w:val="24"/>
        </w:rPr>
        <w:t xml:space="preserve">The author declares that there are no known competing financial interests or personal relationships that could have appeared to influence the work reported in this paper.</w:t>
      </w:r>
    </w:p>
    <w:p>
      <w:pPr>
        <w:pStyle w:val="Heading1"/>
        <w:spacing w:before="240" w:after="120"/>
      </w:pPr>
      <w:r>
        <w:rPr>
          <w:rFonts w:ascii="Times New Roman" w:cs="Times New Roman" w:eastAsia="Times New Roman" w:hAnsi="Times New Roman"/>
          <w:b/>
          <w:bCs/>
          <w:sz w:val="28"/>
          <w:szCs w:val="28"/>
        </w:rPr>
        <w:t xml:space="preserve">Funding</w:t>
      </w:r>
    </w:p>
    <w:p>
      <w:pPr>
        <w:spacing w:after="120" w:line="360"/>
        <w:jc w:val="left"/>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pStyle w:val="Heading1"/>
        <w:spacing w:before="240" w:after="120"/>
      </w:pPr>
      <w:r>
        <w:rPr>
          <w:rFonts w:ascii="Times New Roman" w:cs="Times New Roman" w:eastAsia="Times New Roman" w:hAnsi="Times New Roman"/>
          <w:b/>
          <w:bCs/>
          <w:sz w:val="28"/>
          <w:szCs w:val="28"/>
        </w:rPr>
        <w:t xml:space="preserve">Declaration of Generative AI and AI-Assisted Technologies in the Manuscript Preparation Process</w:t>
      </w:r>
    </w:p>
    <w:p>
      <w:pPr>
        <w:spacing w:after="120" w:line="360"/>
        <w:jc w:val="left"/>
      </w:pPr>
      <w:r>
        <w:rPr>
          <w:rFonts w:ascii="Times New Roman" w:cs="Times New Roman" w:eastAsia="Times New Roman" w:hAnsi="Times New Roman"/>
          <w:sz w:val="24"/>
          <w:szCs w:val="24"/>
        </w:rPr>
        <w:t xml:space="preserve">[If applicable: During the preparation of this work the author(s) used [NAME OF TOOL / SERVICE] in order to [REASON]. After using this tool/service, the author(s) reviewed and edited the content as needed and take(s) full responsibility for the content of the published article.]</w:t>
      </w:r>
    </w:p>
    <w:p>
      <w:pPr>
        <w:pStyle w:val="Heading1"/>
        <w:spacing w:before="240" w:after="120"/>
      </w:pPr>
      <w:r>
        <w:rPr>
          <w:rFonts w:ascii="Times New Roman" w:cs="Times New Roman" w:eastAsia="Times New Roman" w:hAnsi="Times New Roman"/>
          <w:b/>
          <w:bCs/>
          <w:sz w:val="28"/>
          <w:szCs w:val="28"/>
        </w:rPr>
        <w:t xml:space="preserve">Data Availability</w:t>
      </w:r>
    </w:p>
    <w:p>
      <w:pPr>
        <w:spacing w:after="120" w:line="360"/>
        <w:jc w:val="left"/>
      </w:pPr>
      <w:r>
        <w:rPr>
          <w:rFonts w:ascii="Times New Roman" w:cs="Times New Roman" w:eastAsia="Times New Roman" w:hAnsi="Times New Roman"/>
          <w:sz w:val="24"/>
          <w:szCs w:val="24"/>
        </w:rPr>
        <w:t xml:space="preserve">The source code, trained models, and curated datasets are available on GitHub at https://github.com/sharhabileltahir/MultiEndpointTox. Raw bioactivity data were obtained from ChEMBL version 34 (https://www.ebi.ac.uk/chembl/).</w:t>
      </w:r>
    </w:p>
    <w:p>
      <w:pPr>
        <w:pStyle w:val="Heading1"/>
        <w:spacing w:before="240" w:after="120"/>
      </w:pPr>
      <w:r>
        <w:rPr>
          <w:rFonts w:ascii="Times New Roman" w:cs="Times New Roman" w:eastAsia="Times New Roman" w:hAnsi="Times New Roman"/>
          <w:b/>
          <w:bCs/>
          <w:sz w:val="28"/>
          <w:szCs w:val="28"/>
        </w:rPr>
        <w:t xml:space="preserve">Acknowledgments</w:t>
      </w:r>
    </w:p>
    <w:p>
      <w:pPr>
        <w:spacing w:after="120" w:line="360"/>
        <w:jc w:val="left"/>
      </w:pPr>
      <w:r>
        <w:rPr>
          <w:rFonts w:ascii="Times New Roman" w:cs="Times New Roman" w:eastAsia="Times New Roman" w:hAnsi="Times New Roman"/>
          <w:sz w:val="24"/>
          <w:szCs w:val="24"/>
        </w:rPr>
        <w:t xml:space="preserve">The author acknowledges the Institute of Graduate Studies and Research, Alexandria University, for providing the research environment and computational resources for this work. The ChEMBL database team at EMBL-EBI is gratefully acknowledged for maintaining freely accessible bioactivity data.</w:t>
      </w:r>
    </w:p>
    <w:p>
      <w:pPr>
        <w:pStyle w:val="Heading1"/>
        <w:spacing w:before="240" w:after="120"/>
      </w:pPr>
      <w:r>
        <w:rPr>
          <w:rFonts w:ascii="Times New Roman" w:cs="Times New Roman" w:eastAsia="Times New Roman" w:hAnsi="Times New Roman"/>
          <w:b/>
          <w:bCs/>
          <w:sz w:val="28"/>
          <w:szCs w:val="28"/>
        </w:rPr>
        <w:t xml:space="preserve">References</w:t>
      </w:r>
    </w:p>
    <w:p>
      <w:pPr>
        <w:spacing w:after="60" w:line="360"/>
        <w:jc w:val="left"/>
      </w:pPr>
      <w:r>
        <w:rPr>
          <w:rFonts w:ascii="Times New Roman" w:cs="Times New Roman" w:eastAsia="Times New Roman" w:hAnsi="Times New Roman"/>
          <w:sz w:val="20"/>
          <w:szCs w:val="20"/>
        </w:rPr>
        <w:t xml:space="preserve">[1] I. Kola, J. Landis, Can the pharmaceutical industry reduce attrition rates? Nat. Rev. Drug Discov. 3 (2004) 711–715.</w:t>
      </w:r>
    </w:p>
    <w:p>
      <w:pPr>
        <w:spacing w:after="60" w:line="360"/>
        <w:jc w:val="left"/>
      </w:pPr>
      <w:r>
        <w:rPr>
          <w:rFonts w:ascii="Times New Roman" w:cs="Times New Roman" w:eastAsia="Times New Roman" w:hAnsi="Times New Roman"/>
          <w:sz w:val="20"/>
          <w:szCs w:val="20"/>
        </w:rPr>
        <w:t xml:space="preserve">[2] T.W. Schultz, P. Cronin, J.D. Walker, A.O. Aptula, Quantitative structure–activity relationships (QSARs) in toxicology: a historical perspective, J. Mol. Struct. (Theochem) 622 (2003) 1–22.</w:t>
      </w:r>
    </w:p>
    <w:p>
      <w:pPr>
        <w:spacing w:after="60" w:line="360"/>
        <w:jc w:val="left"/>
      </w:pPr>
      <w:r>
        <w:rPr>
          <w:rFonts w:ascii="Times New Roman" w:cs="Times New Roman" w:eastAsia="Times New Roman" w:hAnsi="Times New Roman"/>
          <w:sz w:val="20"/>
          <w:szCs w:val="20"/>
        </w:rPr>
        <w:t xml:space="preserve">[3] A. Tropsha, Best practices for QSAR model development, validation, and exploitation, Mol. Inform. 29 (2010) 476–488.</w:t>
      </w:r>
    </w:p>
    <w:p>
      <w:pPr>
        <w:spacing w:after="60" w:line="360"/>
        <w:jc w:val="left"/>
      </w:pPr>
      <w:r>
        <w:rPr>
          <w:rFonts w:ascii="Times New Roman" w:cs="Times New Roman" w:eastAsia="Times New Roman" w:hAnsi="Times New Roman"/>
          <w:sz w:val="20"/>
          <w:szCs w:val="20"/>
        </w:rPr>
        <w:t xml:space="preserve">[4] H. Yang, L. Sun, W. Li, G. Liu, Y. Tang, In silico prediction of chemical toxicity for drug design using machine learning methods and structural alerts, Front. Chem. 6 (2018) 30.</w:t>
      </w:r>
    </w:p>
    <w:p>
      <w:pPr>
        <w:spacing w:after="60" w:line="360"/>
        <w:jc w:val="left"/>
      </w:pPr>
      <w:r>
        <w:rPr>
          <w:rFonts w:ascii="Times New Roman" w:cs="Times New Roman" w:eastAsia="Times New Roman" w:hAnsi="Times New Roman"/>
          <w:sz w:val="20"/>
          <w:szCs w:val="20"/>
        </w:rPr>
        <w:t xml:space="preserve">[5] R. Jimenez-Luna, F. Grisoni, G. Schneider, Drug discovery with explainable artificial intelligence, Nat. Mach. Intell. 2 (2020) 573–584.</w:t>
      </w:r>
    </w:p>
    <w:p>
      <w:pPr>
        <w:spacing w:after="60" w:line="360"/>
        <w:jc w:val="left"/>
      </w:pPr>
      <w:r>
        <w:rPr>
          <w:rFonts w:ascii="Times New Roman" w:cs="Times New Roman" w:eastAsia="Times New Roman" w:hAnsi="Times New Roman"/>
          <w:sz w:val="20"/>
          <w:szCs w:val="20"/>
        </w:rPr>
        <w:t xml:space="preserve">[6] A. Racz, D. Bajusz, K. Heberger, Intercorrelation of molecular and statistical measures of chemical information and their use for regulatory purposes, Mol. Inform. 40 (2021) 2000187.</w:t>
      </w:r>
    </w:p>
    <w:p>
      <w:pPr>
        <w:spacing w:after="60" w:line="360"/>
        <w:jc w:val="left"/>
      </w:pPr>
      <w:r>
        <w:rPr>
          <w:rFonts w:ascii="Times New Roman" w:cs="Times New Roman" w:eastAsia="Times New Roman" w:hAnsi="Times New Roman"/>
          <w:sz w:val="20"/>
          <w:szCs w:val="20"/>
        </w:rPr>
        <w:t xml:space="preserve">[7] T. Netzeva, A. Worth, T. Aldenberg, R. Benigni, C. Cronin, P. Gramatica, et al., Current status of methods for defining the applicability domain of (quantitative) structure–activity relationships, Altern. Lab. Anim. 33 (2005) 155–173.</w:t>
      </w:r>
    </w:p>
    <w:p>
      <w:pPr>
        <w:spacing w:after="60" w:line="360"/>
        <w:jc w:val="left"/>
      </w:pPr>
      <w:r>
        <w:rPr>
          <w:rFonts w:ascii="Times New Roman" w:cs="Times New Roman" w:eastAsia="Times New Roman" w:hAnsi="Times New Roman"/>
          <w:sz w:val="20"/>
          <w:szCs w:val="20"/>
        </w:rPr>
        <w:t xml:space="preserve">[8] S.M. Lundberg, S.I. Lee, A unified approach to interpreting model predictions, in: Adv. Neural Inf. Process. Syst. 30, 2017, pp. 4765–4774.</w:t>
      </w:r>
    </w:p>
    <w:p>
      <w:pPr>
        <w:spacing w:after="60" w:line="360"/>
        <w:jc w:val="left"/>
      </w:pPr>
      <w:r>
        <w:rPr>
          <w:rFonts w:ascii="Times New Roman" w:cs="Times New Roman" w:eastAsia="Times New Roman" w:hAnsi="Times New Roman"/>
          <w:sz w:val="20"/>
          <w:szCs w:val="20"/>
        </w:rPr>
        <w:t xml:space="preserve">[9] P. Rodriguez-Perez, J. Bajorath, Interpretation of machine learning models using shapley values: application to compound potency and multi-target activity predictions, J. Comput. Aided Mol. Des. 34 (2020) 1013–1026.</w:t>
      </w:r>
    </w:p>
    <w:p>
      <w:pPr>
        <w:spacing w:after="60" w:line="360"/>
        <w:jc w:val="left"/>
      </w:pPr>
      <w:r>
        <w:rPr>
          <w:rFonts w:ascii="Times New Roman" w:cs="Times New Roman" w:eastAsia="Times New Roman" w:hAnsi="Times New Roman"/>
          <w:sz w:val="20"/>
          <w:szCs w:val="20"/>
        </w:rPr>
        <w:t xml:space="preserve">[10] P. Gramatica, Principles of QSAR models validation: internal and external, QSAR Comb. Sci. 26 (2007) 694–701.</w:t>
      </w:r>
    </w:p>
    <w:p>
      <w:pPr>
        <w:spacing w:after="60" w:line="360"/>
        <w:jc w:val="left"/>
      </w:pPr>
      <w:r>
        <w:rPr>
          <w:rFonts w:ascii="Times New Roman" w:cs="Times New Roman" w:eastAsia="Times New Roman" w:hAnsi="Times New Roman"/>
          <w:sz w:val="20"/>
          <w:szCs w:val="20"/>
        </w:rPr>
        <w:t xml:space="preserve">[11] R.A. Friesner, J.L. Banks, R.B. Murphy, T.A. Halgren, J.J. Klicic, D.T. Mainz, et al., Glide: a new approach for rapid, accurate docking and scoring. 1. Method and assessment of docking accuracy, J. Med. Chem. 47 (2004) 1739–1749.</w:t>
      </w:r>
    </w:p>
    <w:p>
      <w:pPr>
        <w:spacing w:after="60" w:line="360"/>
        <w:jc w:val="left"/>
      </w:pPr>
      <w:r>
        <w:rPr>
          <w:rFonts w:ascii="Times New Roman" w:cs="Times New Roman" w:eastAsia="Times New Roman" w:hAnsi="Times New Roman"/>
          <w:sz w:val="20"/>
          <w:szCs w:val="20"/>
        </w:rPr>
        <w:t xml:space="preserve">[12] O. Trott, A.J. Olson, AutoDock Vina: improving the speed and accuracy of docking with a new scoring function, efficient optimization, and multithreading, J. Comput. Chem. 31 (2010) 455–461.</w:t>
      </w:r>
    </w:p>
    <w:p>
      <w:pPr>
        <w:spacing w:after="60" w:line="360"/>
        <w:jc w:val="left"/>
      </w:pPr>
      <w:r>
        <w:rPr>
          <w:rFonts w:ascii="Times New Roman" w:cs="Times New Roman" w:eastAsia="Times New Roman" w:hAnsi="Times New Roman"/>
          <w:sz w:val="20"/>
          <w:szCs w:val="20"/>
        </w:rPr>
        <w:t xml:space="preserve">[13] A. Mayr, G. Klambauer, T. Unterthiner, M. Steijaert, J.K. Wegner, H. Ceulemans, et al., Large-scale comparison of machine learning methods for drug target prediction on ChEMBL, Chem. Sci. 9 (2018) 5441–5451.</w:t>
      </w:r>
    </w:p>
    <w:p>
      <w:pPr>
        <w:spacing w:after="60" w:line="360"/>
        <w:jc w:val="left"/>
      </w:pPr>
      <w:r>
        <w:rPr>
          <w:rFonts w:ascii="Times New Roman" w:cs="Times New Roman" w:eastAsia="Times New Roman" w:hAnsi="Times New Roman"/>
          <w:sz w:val="20"/>
          <w:szCs w:val="20"/>
        </w:rPr>
        <w:t xml:space="preserve">[14] H. Cai, R. Bhatt, S.M. Bhatt, Computational prediction of hERG blockade with machine learning approaches, J. Chem. Inf. Model. 59 (2019) 4202–4211.</w:t>
      </w:r>
    </w:p>
    <w:p>
      <w:pPr>
        <w:spacing w:after="60" w:line="360"/>
        <w:jc w:val="left"/>
      </w:pPr>
      <w:r>
        <w:rPr>
          <w:rFonts w:ascii="Times New Roman" w:cs="Times New Roman" w:eastAsia="Times New Roman" w:hAnsi="Times New Roman"/>
          <w:sz w:val="20"/>
          <w:szCs w:val="20"/>
        </w:rPr>
        <w:t xml:space="preserve">[15] M. Chen, A. Suzuki, S. Thakkar, K. Yu, C. Hu, W.B. Tong, DILIrank: the largest reference drug list ranked by the risk for developing drug-induced liver injury in humans, Drug Discov. Today 21 (2016) 648–653.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Computational Toxicology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2026-03-03T00:54:53.127Z</dcterms:created>
  <dcterms:modified xsi:type="dcterms:W3CDTF">2026-03-03T00:54:53.128Z</dcterms:modified>
</cp:coreProperties>
</file>

<file path=docProps/custom.xml><?xml version="1.0" encoding="utf-8"?>
<Properties xmlns="http://schemas.openxmlformats.org/officeDocument/2006/custom-properties" xmlns:vt="http://schemas.openxmlformats.org/officeDocument/2006/docPropsVTypes"/>
</file>