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An Automated Cheminformatics Pipeline for Literature-Mined QSAR Modeling of Phytochemical Extraction Outcomes</w:t>
      </w:r>
    </w:p>
    <w:p>
      <w:pPr>
        <w:spacing w:after="100"/>
        <w:jc w:val="center"/>
      </w:pPr>
      <w:r>
        <w:rPr>
          <w:rFonts w:ascii="Arial" w:cs="Arial" w:eastAsia="Arial" w:hAnsi="Arial"/>
          <w:sz w:val="22"/>
          <w:szCs w:val="22"/>
        </w:rPr>
        <w:t xml:space="preserve">Sharhabil M. A. [Surname], [Co-author names]</w:t>
      </w:r>
    </w:p>
    <w:p>
      <w:pPr>
        <w:spacing w:after="400"/>
        <w:jc w:val="center"/>
      </w:pPr>
      <w:r>
        <w:rPr>
          <w:rFonts w:ascii="Arial" w:cs="Arial" w:eastAsia="Arial" w:hAnsi="Arial"/>
          <w:i/>
          <w:iCs/>
          <w:sz w:val="20"/>
          <w:szCs w:val="20"/>
        </w:rPr>
        <w:t xml:space="preserve">Institute of Graduate Studies and Research, Alexandria University, Alexandria, Egypt</w:t>
      </w:r>
    </w:p>
    <w:p>
      <w:pPr>
        <w:spacing w:before="300" w:after="100"/>
      </w:pPr>
      <w:r>
        <w:rPr>
          <w:rFonts w:ascii="Arial" w:cs="Arial" w:eastAsia="Arial" w:hAnsi="Arial"/>
          <w:b/>
          <w:bCs/>
          <w:sz w:val="24"/>
          <w:szCs w:val="24"/>
        </w:rPr>
        <w:t xml:space="preserve">Abstract</w:t>
      </w:r>
    </w:p>
    <w:p>
      <w:pPr>
        <w:spacing w:after="120"/>
      </w:pPr>
      <w:r>
        <w:rPr>
          <w:rFonts w:ascii="Arial" w:cs="Arial" w:eastAsia="Arial" w:hAnsi="Arial"/>
          <w:b/>
          <w:bCs/>
          <w:sz w:val="20"/>
          <w:szCs w:val="20"/>
        </w:rPr>
        <w:t xml:space="preserve">Background: </w:t>
      </w:r>
      <w:r>
        <w:rPr>
          <w:rFonts w:ascii="Arial" w:cs="Arial" w:eastAsia="Arial" w:hAnsi="Arial"/>
          <w:sz w:val="20"/>
          <w:szCs w:val="20"/>
        </w:rPr>
        <w:t xml:space="preserve">Predicting phytochemical extraction outcomes from molecular descriptors and process parameters remains challenging due to fragmented literature data and inconsistent reporting standards. Existing QSAR approaches for extraction optimization rely on small, manually curated datasets that limit model generalizability.</w:t>
      </w:r>
    </w:p>
    <w:p>
      <w:pPr>
        <w:spacing w:after="120"/>
      </w:pPr>
      <w:r>
        <w:rPr>
          <w:rFonts w:ascii="Arial" w:cs="Arial" w:eastAsia="Arial" w:hAnsi="Arial"/>
          <w:b/>
          <w:bCs/>
          <w:sz w:val="20"/>
          <w:szCs w:val="20"/>
        </w:rPr>
        <w:t xml:space="preserve">Results: </w:t>
      </w:r>
      <w:r>
        <w:rPr>
          <w:rFonts w:ascii="Arial" w:cs="Arial" w:eastAsia="Arial" w:hAnsi="Arial"/>
          <w:sz w:val="20"/>
          <w:szCs w:val="20"/>
        </w:rPr>
        <w:t xml:space="preserve">We developed PhytoExtractQSAR, an automated cheminformatics pipeline that integrates PubMed literature mining, PDF data extraction, molecular descriptor computation via RDKit, and multi-algorithm QSAR modeling with transparent data provenance tracking. Starting from 38 targeted PubMed queries across 94 phytochemical compounds and 15 extraction methods, the pipeline assembled a dataset of 1,877 literature-verified experimental records with features encompassing molecular properties, solvent descriptors, method characteristics, and physicochemically meaningful interaction terms. Ten machine learning algorithms were benchmarked using nested five-fold cross-validation. The best-performing models achieved Q² values of 0.583 for total flavonoid content (TFC; Extra Trees, N = 1,022), 0.341 for extraction yield (Extra Trees, N = 1,877), 0.198 for total phenolic content (TPC; Random Forest, N = 1,287), and 0.161 for antioxidant activity IC50 (Extra Trees, N = 1,359). SHAP analysis revealed that solvent polarity descriptors and compound lipophilicity (LogP) were the dominant predictive features for TFC, while extraction temperature and method energy input drove yield predictions. A leverage-based applicability domain analysis confirmed that over 95% of training samples fell within the reliable prediction space.</w:t>
      </w:r>
    </w:p>
    <w:p>
      <w:pPr>
        <w:spacing w:after="120"/>
      </w:pPr>
      <w:r>
        <w:rPr>
          <w:rFonts w:ascii="Arial" w:cs="Arial" w:eastAsia="Arial" w:hAnsi="Arial"/>
          <w:b/>
          <w:bCs/>
          <w:sz w:val="20"/>
          <w:szCs w:val="20"/>
        </w:rPr>
        <w:t xml:space="preserve">Conclusions: </w:t>
      </w:r>
      <w:r>
        <w:rPr>
          <w:rFonts w:ascii="Arial" w:cs="Arial" w:eastAsia="Arial" w:hAnsi="Arial"/>
          <w:sz w:val="20"/>
          <w:szCs w:val="20"/>
        </w:rPr>
        <w:t xml:space="preserve">The PhytoExtractQSAR pipeline demonstrates that automated literature mining combined with rigorous data provenance tracking can produce QSAR-ready datasets of sufficient quality for predictive modeling of phytochemical extraction. The transparent separation of literature-verified and computationally augmented records, combined with nested cross-validation exclusively on verified data, provides a robust framework for unbiased performance evaluation. All code, datasets, and trained models are publicly available.</w:t>
      </w:r>
    </w:p>
    <w:p>
      <w:pPr>
        <w:spacing w:after="120"/>
      </w:pPr>
      <w:r>
        <w:rPr>
          <w:rFonts w:ascii="Arial" w:cs="Arial" w:eastAsia="Arial" w:hAnsi="Arial"/>
          <w:b/>
          <w:bCs/>
          <w:sz w:val="20"/>
          <w:szCs w:val="20"/>
        </w:rPr>
        <w:t xml:space="preserve">Scientific contribution: </w:t>
      </w:r>
      <w:r>
        <w:rPr>
          <w:rFonts w:ascii="Arial" w:cs="Arial" w:eastAsia="Arial" w:hAnsi="Arial"/>
          <w:sz w:val="20"/>
          <w:szCs w:val="20"/>
        </w:rPr>
        <w:t xml:space="preserve">PhytoExtractQSAR is the first open-source pipeline to automate the entire workflow from PubMed literature mining through molecular descriptor computation to multi-target QSAR modeling of phytochemical extraction outcomes, assembling a dataset of 1,877 verified records across 94 compounds. The explicit provenance tracking of literature-verified versus computationally augmented data, combined with leverage-based applicability domain assessment, establishes a reproducible standard for extraction-focused QSAR that prevents data leakage and ensures reliable predictions within a defined chemical and parametric space.</w:t>
      </w:r>
    </w:p>
    <w:p>
      <w:pPr>
        <w:spacing w:before="200" w:after="400"/>
      </w:pPr>
      <w:r>
        <w:rPr>
          <w:rFonts w:ascii="Arial" w:cs="Arial" w:eastAsia="Arial" w:hAnsi="Arial"/>
          <w:b/>
          <w:bCs/>
          <w:sz w:val="20"/>
          <w:szCs w:val="20"/>
        </w:rPr>
        <w:t xml:space="preserve">Keywords: </w:t>
      </w:r>
      <w:r>
        <w:rPr>
          <w:rFonts w:ascii="Arial" w:cs="Arial" w:eastAsia="Arial" w:hAnsi="Arial"/>
          <w:sz w:val="20"/>
          <w:szCs w:val="20"/>
        </w:rPr>
        <w:t xml:space="preserve">QSAR, phytochemical extraction, machine learning, literature mining, cheminformatics, RDKit, natural products, feature engineering, data provenance, applicability domain</w:t>
      </w:r>
    </w:p>
    <w:p>
      <w:pPr>
        <w:pStyle w:val="Heading1"/>
        <w:spacing w:before="400" w:after="200"/>
      </w:pPr>
      <w:r>
        <w:rPr>
          <w:rFonts w:ascii="Arial" w:cs="Arial" w:eastAsia="Arial" w:hAnsi="Arial"/>
          <w:b/>
          <w:bCs/>
          <w:sz w:val="26"/>
          <w:szCs w:val="26"/>
        </w:rPr>
        <w:t xml:space="preserve">Introduction</w:t>
      </w:r>
    </w:p>
    <w:p>
      <w:pPr>
        <w:spacing w:after="150"/>
      </w:pPr>
      <w:r>
        <w:rPr>
          <w:rFonts w:ascii="Arial" w:cs="Arial" w:eastAsia="Arial" w:hAnsi="Arial"/>
          <w:i w:val="false"/>
          <w:iCs w:val="false"/>
          <w:sz w:val="22"/>
          <w:szCs w:val="22"/>
        </w:rPr>
        <w:t xml:space="preserve">The extraction of bioactive phytochemicals from plant materials is a foundational step in pharmaceutical, nutraceutical, and food science research [1, 2]. Extraction outcomes—including yield, total phenolic content (TPC), total flavonoid content (TFC), and antioxidant activity—depend on complex interactions between the molecular properties of target compounds, solvent characteristics, and process parameters such as temperature, time, and energy input [3]. Optimizing these multi-dimensional processes traditionally requires extensive experimental design, often guided by response surface methodology (RSM) [4]. However, each RSM study addresses a single compound–method combination, and the accumulated knowledge across thousands of published studies remains fragmented and difficult to leverage systematically.</w:t>
      </w:r>
    </w:p>
    <w:p>
      <w:pPr>
        <w:spacing w:after="150"/>
      </w:pPr>
      <w:r>
        <w:rPr>
          <w:rFonts w:ascii="Arial" w:cs="Arial" w:eastAsia="Arial" w:hAnsi="Arial"/>
          <w:i w:val="false"/>
          <w:iCs w:val="false"/>
          <w:sz w:val="22"/>
          <w:szCs w:val="22"/>
        </w:rPr>
        <w:t xml:space="preserve">Quantitative Structure–Activity Relationship (QSAR) modeling offers a computational framework for predicting molecular properties from structural descriptors [5, 6]. While QSAR has been applied extensively in drug discovery for predicting biological activity, toxicity, and ADMET properties [7, 8], its application to phytochemical extraction optimization remains limited. The few existing studies typically rely on small datasets (fewer than 100 compounds) with manually curated parameters [9, 10], restricting both the chemical diversity covered and the generalizability of the resulting models.</w:t>
      </w:r>
    </w:p>
    <w:p>
      <w:pPr>
        <w:spacing w:after="150"/>
      </w:pPr>
      <w:r>
        <w:rPr>
          <w:rFonts w:ascii="Arial" w:cs="Arial" w:eastAsia="Arial" w:hAnsi="Arial"/>
          <w:i w:val="false"/>
          <w:iCs w:val="false"/>
          <w:sz w:val="22"/>
          <w:szCs w:val="22"/>
        </w:rPr>
        <w:t xml:space="preserve">Building QSAR models for extraction outcomes faces a data availability bottleneck. Unlike drug–target interaction databases such as ChEMBL [11] or PubChem BioAssay [12], no centralized repository exists for phytochemical extraction data. Relevant experimental parameters are scattered across thousands of journal articles, often reported inconsistently in terms of units, measurement protocols, and extraction conditions [13]. Manual curation of such data is time-consuming and error-prone, limiting the scale and reproducibility of extraction-focused QSAR studies.</w:t>
      </w:r>
    </w:p>
    <w:p>
      <w:pPr>
        <w:spacing w:after="150"/>
      </w:pPr>
      <w:r>
        <w:rPr>
          <w:rFonts w:ascii="Arial" w:cs="Arial" w:eastAsia="Arial" w:hAnsi="Arial"/>
          <w:i w:val="false"/>
          <w:iCs w:val="false"/>
          <w:sz w:val="22"/>
          <w:szCs w:val="22"/>
        </w:rPr>
        <w:t xml:space="preserve">Advances in natural language processing and automated literature mining now enable large-scale extraction of structured data from scientific publications [14, 15]. These approaches, combined with cheminformatics tools for molecular descriptor computation (e.g., RDKit [16]) and modern machine learning algorithms, present an opportunity to systematically harvest extraction data from the published literature and build predictive models at scale.</w:t>
      </w:r>
    </w:p>
    <w:p>
      <w:pPr>
        <w:spacing w:after="150"/>
      </w:pPr>
      <w:r>
        <w:rPr>
          <w:rFonts w:ascii="Arial" w:cs="Arial" w:eastAsia="Arial" w:hAnsi="Arial"/>
          <w:i w:val="false"/>
          <w:iCs w:val="false"/>
          <w:sz w:val="22"/>
          <w:szCs w:val="22"/>
        </w:rPr>
        <w:t xml:space="preserve">Here we present PhytoExtractQSAR, an end-to-end cheminformatics pipeline that automates (1) mining phytochemical extraction data from PubMed abstracts and full-text PDFs, (2) computing molecular descriptors from validated SMILES representations, (3) engineering physicochemically meaningful features including solvent polarity descriptors and compound–method interaction terms, and (4) training and validating multi-target QSAR models with transparent data provenance tracking. The pipeline enforces an explicit separation of literature-verified and computationally augmented records, enabling unbiased performance evaluation through nested cross-validation exclusively on experimentally validated data. An applicability domain analysis based on leverage values further ensures that predictions remain within the chemical and parametric space supported by the training data [26].</w:t>
      </w:r>
    </w:p>
    <w:p>
      <w:pPr>
        <w:pStyle w:val="Heading1"/>
        <w:spacing w:before="400" w:after="200"/>
      </w:pPr>
      <w:r>
        <w:rPr>
          <w:rFonts w:ascii="Arial" w:cs="Arial" w:eastAsia="Arial" w:hAnsi="Arial"/>
          <w:b/>
          <w:bCs/>
          <w:sz w:val="26"/>
          <w:szCs w:val="26"/>
        </w:rPr>
        <w:t xml:space="preserve">Methods</w:t>
      </w:r>
    </w:p>
    <w:p>
      <w:pPr>
        <w:pStyle w:val="Heading2"/>
        <w:spacing w:before="300" w:after="150"/>
      </w:pPr>
      <w:r>
        <w:rPr>
          <w:rFonts w:ascii="Arial" w:cs="Arial" w:eastAsia="Arial" w:hAnsi="Arial"/>
          <w:b/>
          <w:bCs/>
          <w:sz w:val="24"/>
          <w:szCs w:val="24"/>
        </w:rPr>
        <w:t xml:space="preserve">Data collection and literature mining</w:t>
      </w:r>
    </w:p>
    <w:p>
      <w:pPr>
        <w:spacing w:after="150"/>
      </w:pPr>
      <w:r>
        <w:rPr>
          <w:rFonts w:ascii="Arial" w:cs="Arial" w:eastAsia="Arial" w:hAnsi="Arial"/>
          <w:i w:val="false"/>
          <w:iCs w:val="false"/>
          <w:sz w:val="22"/>
          <w:szCs w:val="22"/>
        </w:rPr>
        <w:t xml:space="preserve">The data collection pipeline consisted of three complementary mining strategies targeting phytochemical extraction studies indexed in PubMed. First, a systematic set of 38 targeted queries was designed to maximize recovery of studies reporting quantitative extraction outcomes (yield, TPC, TFC, IC50) with explicit process parameters. Queries were structured to capture compound-specific data (e.g., “quercetin AND extraction AND yield AND optimization”), method-specific data (e.g., “ultrasound-assisted extraction AND yield AND optimization AND RSM”), and outcome-specific data (e.g., “total flavonoid content AND mg QE AND extraction”). The Biopython Entrez API [17] was used to retrieve up to 200 records per query, yielding 3,322 unique PubMed records after deduplication.</w:t>
      </w:r>
    </w:p>
    <w:p>
      <w:pPr>
        <w:spacing w:after="150"/>
      </w:pPr>
      <w:r>
        <w:rPr>
          <w:rFonts w:ascii="Arial" w:cs="Arial" w:eastAsia="Arial" w:hAnsi="Arial"/>
          <w:i w:val="false"/>
          <w:iCs w:val="false"/>
          <w:sz w:val="22"/>
          <w:szCs w:val="22"/>
        </w:rPr>
        <w:t xml:space="preserve">Second, full-text PDFs were obtained for accessible articles using DOI-based retrieval from open-access repositories. A total of 810 PDFs were successfully downloaded and processed using a custom regex-based extraction pipeline that identified numerical values for extraction yield (%), TPC (mg GAE/g), TFC (mg QE/g or mg CE/g), IC50 (µg/mL), temperature (°C), time (min), pressure (MPa), and solvent system from both abstracts and full text.</w:t>
      </w:r>
    </w:p>
    <w:p>
      <w:pPr>
        <w:spacing w:after="150"/>
      </w:pPr>
      <w:r>
        <w:rPr>
          <w:rFonts w:ascii="Arial" w:cs="Arial" w:eastAsia="Arial" w:hAnsi="Arial"/>
          <w:i w:val="false"/>
          <w:iCs w:val="false"/>
          <w:sz w:val="22"/>
          <w:szCs w:val="22"/>
        </w:rPr>
        <w:t xml:space="preserve">Third, extracted values underwent automated quality control with physically realistic range filters: temperature [−20, 300] °C, pressure [0, 100] MPa, yield [0.01, 100] %, TPC [0.01, 1000] mg GAE/g, TFC [0.01, 1000] mg QE/g, and IC50 [0.001, 10000] µg/mL. Unit conversions were applied where detected (e.g., hours to minutes, kW to W, bar to MPa). The final literature-verified dataset comprised 1,877 experimental records covering 94 phytochemical compounds across 15 extraction methods. The regex-based pipeline did not systematically capture compound purity metadata (e.g., HPLC purity values) from the source publications, as purity reporting is inconsistent across the extraction literature; this limitation is discussed below.</w:t>
      </w:r>
    </w:p>
    <w:p>
      <w:pPr>
        <w:pStyle w:val="Heading2"/>
        <w:spacing w:before="300" w:after="150"/>
      </w:pPr>
      <w:r>
        <w:rPr>
          <w:rFonts w:ascii="Arial" w:cs="Arial" w:eastAsia="Arial" w:hAnsi="Arial"/>
          <w:b/>
          <w:bCs/>
          <w:sz w:val="24"/>
          <w:szCs w:val="24"/>
        </w:rPr>
        <w:t xml:space="preserve">Data provenance and quality tracking</w:t>
      </w:r>
    </w:p>
    <w:p>
      <w:pPr>
        <w:spacing w:after="150"/>
      </w:pPr>
      <w:r>
        <w:rPr>
          <w:rFonts w:ascii="Arial" w:cs="Arial" w:eastAsia="Arial" w:hAnsi="Arial"/>
          <w:i w:val="false"/>
          <w:iCs w:val="false"/>
          <w:sz w:val="22"/>
          <w:szCs w:val="22"/>
        </w:rPr>
        <w:t xml:space="preserve">A distinguishing feature of this pipeline is explicit provenance tracking for every record. Each entry in the dataset carries a _data_source field indicating whether it was derived from PubMed abstract mining, PDF full-text extraction, or computational augmentation. This provenance metadata serves a dual purpose: it enables transparent reporting of dataset composition for reproducibility, and it provides a natural separation for model validation. All QSAR models reported in this study were trained and validated exclusively on literature-verified records (N = 1,877), using nested cross-validation to prevent information leakage.</w:t>
      </w:r>
    </w:p>
    <w:p>
      <w:pPr>
        <w:spacing w:after="150"/>
      </w:pPr>
      <w:r>
        <w:rPr>
          <w:rFonts w:ascii="Arial" w:cs="Arial" w:eastAsia="Arial" w:hAnsi="Arial"/>
          <w:i w:val="false"/>
          <w:iCs w:val="false"/>
          <w:sz w:val="22"/>
          <w:szCs w:val="22"/>
        </w:rPr>
        <w:t xml:space="preserve">Quality control was performed in three stages. Structural validation ensured all 94 phytochemical SMILES were parseable by RDKit [16] and matched PubChem canonical representations verified by CID lookup. Parametric validation applied range filters and unit-consistency checks across all extraction parameters. Duplicate detection identified 672 potential duplicate records based on compound–method–parameter combinations, which were flagged but retained with provenance metadata for transparency.</w:t>
      </w:r>
    </w:p>
    <w:p>
      <w:pPr>
        <w:pStyle w:val="Heading2"/>
        <w:spacing w:before="300" w:after="150"/>
      </w:pPr>
      <w:r>
        <w:rPr>
          <w:rFonts w:ascii="Arial" w:cs="Arial" w:eastAsia="Arial" w:hAnsi="Arial"/>
          <w:b/>
          <w:bCs/>
          <w:sz w:val="24"/>
          <w:szCs w:val="24"/>
        </w:rPr>
        <w:t xml:space="preserve">Molecular descriptor computation</w:t>
      </w:r>
    </w:p>
    <w:p>
      <w:pPr>
        <w:spacing w:after="150"/>
      </w:pPr>
      <w:r>
        <w:rPr>
          <w:rFonts w:ascii="Arial" w:cs="Arial" w:eastAsia="Arial" w:hAnsi="Arial"/>
          <w:i w:val="false"/>
          <w:iCs w:val="false"/>
          <w:sz w:val="22"/>
          <w:szCs w:val="22"/>
        </w:rPr>
        <w:t xml:space="preserve">Molecular descriptors were computed using RDKit (version 2023.09) from PubChem-validated isomeric SMILES for all 94 compounds. Ten descriptors were selected based on their established relevance to solubility, permeability, and extraction behavior: molecular weight (MW), calculated octanol–water partition coefficient (ALogP), topological polar surface area (TPSA), hydrogen bond donor count (HBD), hydrogen bond acceptor count (HBA), rotatable bond count, aromatic ring count, heavy atom count, fraction of sp3 carbons (Fsp3), and molar refractivity. These descriptors capture key physicochemical properties that influence compound–solvent interactions during extraction.</w:t>
      </w:r>
    </w:p>
    <w:p>
      <w:pPr>
        <w:pStyle w:val="Heading2"/>
        <w:spacing w:before="300" w:after="150"/>
      </w:pPr>
      <w:r>
        <w:rPr>
          <w:rFonts w:ascii="Arial" w:cs="Arial" w:eastAsia="Arial" w:hAnsi="Arial"/>
          <w:b/>
          <w:bCs/>
          <w:sz w:val="24"/>
          <w:szCs w:val="24"/>
        </w:rPr>
        <w:t xml:space="preserve">Feature engineering</w:t>
      </w:r>
    </w:p>
    <w:p>
      <w:pPr>
        <w:spacing w:after="150"/>
      </w:pPr>
      <w:r>
        <w:rPr>
          <w:rFonts w:ascii="Arial" w:cs="Arial" w:eastAsia="Arial" w:hAnsi="Arial"/>
          <w:i w:val="false"/>
          <w:iCs w:val="false"/>
          <w:sz w:val="22"/>
          <w:szCs w:val="22"/>
        </w:rPr>
        <w:t xml:space="preserve">Beyond raw molecular descriptors and extraction parameters, 31 engineered features were computed to encode domain-specific physicochemical knowledge. These fell into six categories:</w:t>
      </w:r>
    </w:p>
    <w:p>
      <w:pPr>
        <w:spacing w:after="150"/>
      </w:pPr>
      <w:r>
        <w:rPr>
          <w:rFonts w:ascii="Arial" w:cs="Arial" w:eastAsia="Arial" w:hAnsi="Arial"/>
          <w:i w:val="false"/>
          <w:iCs w:val="false"/>
          <w:sz w:val="22"/>
          <w:szCs w:val="22"/>
        </w:rPr>
        <w:t xml:space="preserve">Solvent property descriptors (7 features): Polarity index (Snyder scale), dielectric constant, boiling point, viscosity, and Hansen solubility parameters (δD, δP, δH) were assigned to each solvent system from published reference tables [18]. For binary solvent mixtures (e.g., ethanol:water 70:30), properties were computed as composition-weighted averages.</w:t>
      </w:r>
    </w:p>
    <w:p>
      <w:pPr>
        <w:spacing w:after="150"/>
      </w:pPr>
      <w:r>
        <w:rPr>
          <w:rFonts w:ascii="Arial" w:cs="Arial" w:eastAsia="Arial" w:hAnsi="Arial"/>
          <w:i w:val="false"/>
          <w:iCs w:val="false"/>
          <w:sz w:val="22"/>
          <w:szCs w:val="22"/>
        </w:rPr>
        <w:t xml:space="preserve">Extraction method descriptors (5 features): Each of the 15 extraction methods was characterized by ordinal scores (1–5) for energy input, mass transfer efficiency, selectivity, and binary flags for conventional vs. green classification, based on established extraction science literature [19].</w:t>
      </w:r>
    </w:p>
    <w:p>
      <w:pPr>
        <w:spacing w:after="150"/>
      </w:pPr>
      <w:r>
        <w:rPr>
          <w:rFonts w:ascii="Arial" w:cs="Arial" w:eastAsia="Arial" w:hAnsi="Arial"/>
          <w:i w:val="false"/>
          <w:iCs w:val="false"/>
          <w:sz w:val="22"/>
          <w:szCs w:val="22"/>
        </w:rPr>
        <w:t xml:space="preserve">Phytochemical class descriptors (4 features): Each compound class was assigned ordinal scores for typical polarity, molecular weight range, thermal stability, and aqueous solubility, reflecting class-level physicochemical trends.</w:t>
      </w:r>
    </w:p>
    <w:p>
      <w:pPr>
        <w:spacing w:after="150"/>
      </w:pPr>
      <w:r>
        <w:rPr>
          <w:rFonts w:ascii="Arial" w:cs="Arial" w:eastAsia="Arial" w:hAnsi="Arial"/>
          <w:i w:val="false"/>
          <w:iCs w:val="false"/>
          <w:sz w:val="22"/>
          <w:szCs w:val="22"/>
        </w:rPr>
        <w:t xml:space="preserve">Interaction terms (9 features): Physicochemically motivated cross-terms were computed to capture known extraction mechanisms: thermal exposure (temperature × time), LogP–solvent compatibility (−|LogP − (10 − polarity index)|, encoding the “like dissolves like” principle), TPSA–polarity matching (TPSA × solvent polarity index), hydrogen bond–solvent matching (HBD + HBA × Hansen δH), total energy delivered (power × time), pressure–temperature interaction, aromatic ring–dielectric coupling, MW–viscosity interaction, and Fsp3–method selectivity coupling.</w:t>
      </w:r>
    </w:p>
    <w:p>
      <w:pPr>
        <w:spacing w:after="150"/>
      </w:pPr>
      <w:r>
        <w:rPr>
          <w:rFonts w:ascii="Arial" w:cs="Arial" w:eastAsia="Arial" w:hAnsi="Arial"/>
          <w:i w:val="false"/>
          <w:iCs w:val="false"/>
          <w:sz w:val="22"/>
          <w:szCs w:val="22"/>
        </w:rPr>
        <w:t xml:space="preserve">Polynomial terms (4 features): Squared terms for temperature, time, LogP, and molecular weight to capture nonlinear response relationships commonly observed in extraction optimization [4].</w:t>
      </w:r>
    </w:p>
    <w:p>
      <w:pPr>
        <w:spacing w:after="150"/>
      </w:pPr>
      <w:r>
        <w:rPr>
          <w:rFonts w:ascii="Arial" w:cs="Arial" w:eastAsia="Arial" w:hAnsi="Arial"/>
          <w:i w:val="false"/>
          <w:iCs w:val="false"/>
          <w:sz w:val="22"/>
          <w:szCs w:val="22"/>
        </w:rPr>
        <w:t xml:space="preserve">Composite index (1 feature): A normalized extraction intensity score combining temperature, time, power, pressure, and method energy input into a single [0, 1] metric.</w:t>
      </w:r>
    </w:p>
    <w:p>
      <w:pPr>
        <w:pStyle w:val="Heading2"/>
        <w:spacing w:before="300" w:after="150"/>
      </w:pPr>
      <w:r>
        <w:rPr>
          <w:rFonts w:ascii="Arial" w:cs="Arial" w:eastAsia="Arial" w:hAnsi="Arial"/>
          <w:b/>
          <w:bCs/>
          <w:sz w:val="24"/>
          <w:szCs w:val="24"/>
        </w:rPr>
        <w:t xml:space="preserve">QSAR modeling and validation</w:t>
      </w:r>
    </w:p>
    <w:p>
      <w:pPr>
        <w:spacing w:after="150"/>
      </w:pPr>
      <w:r>
        <w:rPr>
          <w:rFonts w:ascii="Arial" w:cs="Arial" w:eastAsia="Arial" w:hAnsi="Arial"/>
          <w:i w:val="false"/>
          <w:iCs w:val="false"/>
          <w:sz w:val="22"/>
          <w:szCs w:val="22"/>
        </w:rPr>
        <w:t xml:space="preserve">Ten regression algorithms were evaluated for each of four extraction targets: yield (%), TPC (mg GAE/g), TFC (mg QE/g), and antioxidant activity IC50 (µg/mL). The algorithms comprised three linear methods (Ridge, Lasso, ElasticNet), two instance-based methods (K-nearest neighbors, support vector regression with RBF and linear kernels), four ensemble tree methods (Random Forest, Gradient Boosting, Extra Trees, XGBoost [20]), and one neural network (multi-layer perceptron with early stopping).</w:t>
      </w:r>
    </w:p>
    <w:p>
      <w:pPr>
        <w:spacing w:after="150"/>
      </w:pPr>
      <w:r>
        <w:rPr>
          <w:rFonts w:ascii="Arial" w:cs="Arial" w:eastAsia="Arial" w:hAnsi="Arial"/>
          <w:i w:val="false"/>
          <w:iCs w:val="false"/>
          <w:sz w:val="22"/>
          <w:szCs w:val="22"/>
        </w:rPr>
        <w:t xml:space="preserve">All models were trained exclusively on literature-verified records. Numeric features were imputed with median values and standardized (zero mean, unit variance). A nested cross-validation strategy was employed: the inner loop (5-fold) performed hyperparameter optimization via grid search (for parameter spaces with ≤80 combinations) or randomized search (40 iterations for larger spaces), while the outer loop (5-fold) provided unbiased performance estimates on held-out folds never seen during tuning. Cross-validated predictions were generated using sklearn.model_selection.cross_val_predict for scatter plot visualization.</w:t>
      </w:r>
    </w:p>
    <w:p>
      <w:pPr>
        <w:spacing w:after="150"/>
      </w:pPr>
      <w:r>
        <w:rPr>
          <w:rFonts w:ascii="Arial" w:cs="Arial" w:eastAsia="Arial" w:hAnsi="Arial"/>
          <w:i w:val="false"/>
          <w:iCs w:val="false"/>
          <w:sz w:val="22"/>
          <w:szCs w:val="22"/>
        </w:rPr>
        <w:t xml:space="preserve">Model performance was assessed using five metrics: coefficient of determination (R²), cross-validated R² (CV R² ± SD), predictive squared correlation coefficient Q² (computed from cross-validated predictions as 1 − SS_res/SS_tot), root mean squared error (RMSE), and Pearson correlation coefficient (r). Q² was used as the primary metric for model comparison, as it provides an unbiased estimate of predictive performance on unseen data [21].</w:t>
      </w:r>
    </w:p>
    <w:p>
      <w:pPr>
        <w:pStyle w:val="Heading2"/>
        <w:spacing w:before="300" w:after="150"/>
      </w:pPr>
      <w:r>
        <w:rPr>
          <w:rFonts w:ascii="Arial" w:cs="Arial" w:eastAsia="Arial" w:hAnsi="Arial"/>
          <w:b/>
          <w:bCs/>
          <w:sz w:val="24"/>
          <w:szCs w:val="24"/>
        </w:rPr>
        <w:t xml:space="preserve">Applicability domain assessment</w:t>
      </w:r>
    </w:p>
    <w:p>
      <w:pPr>
        <w:spacing w:after="150"/>
      </w:pPr>
      <w:r>
        <w:rPr>
          <w:rFonts w:ascii="Arial" w:cs="Arial" w:eastAsia="Arial" w:hAnsi="Arial"/>
          <w:i w:val="false"/>
          <w:iCs w:val="false"/>
          <w:sz w:val="22"/>
          <w:szCs w:val="22"/>
        </w:rPr>
        <w:t xml:space="preserve">To comply with OECD Principle 3 for QSAR validation [26], the applicability domain (AD) of each best-performing model was assessed using a leverage-based approach. For each model, the Hat matrix H was computed from the standardized training descriptor matrix X as H = X(XᵀX)⁻¹Xᵀ. The diagonal elements h_ii (leverage values) quantify the influence of each sample on the model; a warning leverage threshold h* = 3p/n was applied, where p is the number of model features and n the number of training samples [26, 27].</w:t>
      </w:r>
    </w:p>
    <w:p>
      <w:pPr>
        <w:spacing w:after="150"/>
      </w:pPr>
      <w:r>
        <w:rPr>
          <w:rFonts w:ascii="Arial" w:cs="Arial" w:eastAsia="Arial" w:hAnsi="Arial"/>
          <w:i w:val="false"/>
          <w:iCs w:val="false"/>
          <w:sz w:val="22"/>
          <w:szCs w:val="22"/>
        </w:rPr>
        <w:t xml:space="preserve">Williams plots were generated by plotting standardized residuals against leverage values for the cross-validated predictions. Samples with h_ii &gt; h* are considered outside the structural AD (high-leverage outliers), while samples with standardized residuals exceeding ±3 standard deviations are considered response outliers. The fraction of training and cross-validated test samples falling within the AD boundaries (h_ii ≤ h* and |standardized residual| ≤ 3) was reported for each target.</w:t>
      </w:r>
    </w:p>
    <w:p>
      <w:pPr>
        <w:spacing w:after="150"/>
      </w:pPr>
      <w:r>
        <w:rPr>
          <w:rFonts w:ascii="Arial" w:cs="Arial" w:eastAsia="Arial" w:hAnsi="Arial"/>
          <w:i w:val="false"/>
          <w:iCs w:val="false"/>
          <w:sz w:val="22"/>
          <w:szCs w:val="22"/>
        </w:rPr>
        <w:t xml:space="preserve">As a complementary approach, PCA-based bounding box analysis was performed on the standardized descriptor space. The first five principal components (explaining &gt;85% of variance) were used to define the convex hull of the training data. The percentage of cross-validated test fold samples falling within this hull was computed per target to provide an alternative, distance-independent estimate of domain coverage.</w:t>
      </w:r>
    </w:p>
    <w:p>
      <w:pPr>
        <w:pStyle w:val="Heading2"/>
        <w:spacing w:before="300" w:after="150"/>
      </w:pPr>
      <w:r>
        <w:rPr>
          <w:rFonts w:ascii="Arial" w:cs="Arial" w:eastAsia="Arial" w:hAnsi="Arial"/>
          <w:b/>
          <w:bCs/>
          <w:sz w:val="24"/>
          <w:szCs w:val="24"/>
        </w:rPr>
        <w:t xml:space="preserve">Feature importance analysis</w:t>
      </w:r>
    </w:p>
    <w:p>
      <w:pPr>
        <w:spacing w:after="150"/>
      </w:pPr>
      <w:r>
        <w:rPr>
          <w:rFonts w:ascii="Arial" w:cs="Arial" w:eastAsia="Arial" w:hAnsi="Arial"/>
          <w:i w:val="false"/>
          <w:iCs w:val="false"/>
          <w:sz w:val="22"/>
          <w:szCs w:val="22"/>
        </w:rPr>
        <w:t xml:space="preserve">SHAP (SHapley Additive exPlanations) [22] values were computed for the best-performing tree-based model per target using TreeExplainer. A random subsample of 300 records was used for computational efficiency. Feature importance rankings were derived from mean absolute SHAP values, and beeswarm plots were generated to visualize the direction and magnitude of feature contributions to individual predictions.</w:t>
      </w:r>
    </w:p>
    <w:p>
      <w:pPr>
        <w:pStyle w:val="Heading2"/>
        <w:spacing w:before="300" w:after="150"/>
      </w:pPr>
      <w:r>
        <w:rPr>
          <w:rFonts w:ascii="Arial" w:cs="Arial" w:eastAsia="Arial" w:hAnsi="Arial"/>
          <w:b/>
          <w:bCs/>
          <w:sz w:val="24"/>
          <w:szCs w:val="24"/>
        </w:rPr>
        <w:t xml:space="preserve">Software and reproducibility</w:t>
      </w:r>
    </w:p>
    <w:p>
      <w:pPr>
        <w:spacing w:after="150"/>
      </w:pPr>
      <w:r>
        <w:rPr>
          <w:rFonts w:ascii="Arial" w:cs="Arial" w:eastAsia="Arial" w:hAnsi="Arial"/>
          <w:i w:val="false"/>
          <w:iCs w:val="false"/>
          <w:sz w:val="22"/>
          <w:szCs w:val="22"/>
        </w:rPr>
        <w:t xml:space="preserve">The complete pipeline was implemented in Python 3.12 using scikit-learn 1.5, XGBoost 3.2, SHAP 0.50, RDKit 2023.09, Biopython 1.86, and pandas 2.2. All source code, datasets (including provenance metadata), trained model files, and analysis notebooks are available at [GitHub repository URL] (archived with DOI: [Zenodo DOI]) under an MIT license, in compliance with Journal of Cheminformatics reproducibility requirements. The chemical structures of all 94 compounds are additionally provided as FAIR-compliant CSV and SDF files with PubChem CID cross-references (Additional File 1).</w:t>
      </w:r>
    </w:p>
    <w:p>
      <w:pPr>
        <w:pStyle w:val="Heading1"/>
        <w:spacing w:before="400" w:after="200"/>
      </w:pPr>
      <w:r>
        <w:rPr>
          <w:rFonts w:ascii="Arial" w:cs="Arial" w:eastAsia="Arial" w:hAnsi="Arial"/>
          <w:b/>
          <w:bCs/>
          <w:sz w:val="26"/>
          <w:szCs w:val="26"/>
        </w:rPr>
        <w:t xml:space="preserve">Results</w:t>
      </w:r>
    </w:p>
    <w:p>
      <w:pPr>
        <w:pStyle w:val="Heading2"/>
        <w:spacing w:before="300" w:after="150"/>
      </w:pPr>
      <w:r>
        <w:rPr>
          <w:rFonts w:ascii="Arial" w:cs="Arial" w:eastAsia="Arial" w:hAnsi="Arial"/>
          <w:b/>
          <w:bCs/>
          <w:sz w:val="24"/>
          <w:szCs w:val="24"/>
        </w:rPr>
        <w:t xml:space="preserve">Dataset characteristics</w:t>
      </w:r>
    </w:p>
    <w:p>
      <w:pPr>
        <w:spacing w:after="150"/>
      </w:pPr>
      <w:r>
        <w:rPr>
          <w:rFonts w:ascii="Arial" w:cs="Arial" w:eastAsia="Arial" w:hAnsi="Arial"/>
          <w:i w:val="false"/>
          <w:iCs w:val="false"/>
          <w:sz w:val="22"/>
          <w:szCs w:val="22"/>
        </w:rPr>
        <w:t xml:space="preserve">The automated mining pipeline assembled 1,877 literature-verified experimental records from 810 full-text PDFs and 3,322 PubMed abstracts, covering 94 unique phytochemical compounds across 15 extraction methods (Table 1). The dataset spans diverse compound classes including flavonoids (28 compounds), phenolic acids (18), terpenes (14), alkaloids (12), and others. The most represented extraction methods were ultrasound-assisted extraction (UAE, 23.1%), maceration (18.7%), Soxhlet extraction (14.2%), and microwave-assisted extraction (MAE, 11.8%).</w:t>
      </w:r>
    </w:p>
    <w:p>
      <w:pPr>
        <w:spacing w:after="150"/>
      </w:pPr>
      <w:r>
        <w:rPr>
          <w:rFonts w:ascii="Arial" w:cs="Arial" w:eastAsia="Arial" w:hAnsi="Arial"/>
          <w:i w:val="false"/>
          <w:iCs w:val="false"/>
          <w:sz w:val="22"/>
          <w:szCs w:val="22"/>
        </w:rPr>
        <w:t xml:space="preserve">Target variable availability varied across the dataset: yield was reported in 1,877 records (100%), TPC in 1,287 (68.6%), TFC in 1,022 (54.4%), IC50 in 1,359 (72.4%), and purity in 1,303 (69.4%). This differential reporting reflects the heterogeneity of phytochemical extraction studies, where not all outcomes are measured in every experiment.</w:t>
      </w:r>
    </w:p>
    <w:p>
      <w:pPr>
        <w:pStyle w:val="Heading2"/>
        <w:spacing w:before="300" w:after="150"/>
      </w:pPr>
      <w:r>
        <w:rPr>
          <w:rFonts w:ascii="Arial" w:cs="Arial" w:eastAsia="Arial" w:hAnsi="Arial"/>
          <w:b/>
          <w:bCs/>
          <w:sz w:val="24"/>
          <w:szCs w:val="24"/>
        </w:rPr>
        <w:t xml:space="preserve">Feature engineering impact</w:t>
      </w:r>
    </w:p>
    <w:p>
      <w:pPr>
        <w:spacing w:after="150"/>
      </w:pPr>
      <w:r>
        <w:rPr>
          <w:rFonts w:ascii="Arial" w:cs="Arial" w:eastAsia="Arial" w:hAnsi="Arial"/>
          <w:i w:val="false"/>
          <w:iCs w:val="false"/>
          <w:sz w:val="22"/>
          <w:szCs w:val="22"/>
        </w:rPr>
        <w:t xml:space="preserve">The engineered feature set expanded the representation from 16 raw features (10 molecular descriptors + 6 extraction parameters) to 41 numeric features after adding solvent properties, method characteristics, interaction terms, and polynomial features. Feature engineering had a target-dependent impact on model performance (Table 2). For yield prediction, the 41-feature representation improved the best Q² from 0.254 to 0.330 compared with the 16-feature baseline on a matched subset; the final yield model using the 16-feature representation on the full 1,877-record dataset achieved Q² = 0.341, reflecting the combined benefit of additional data rather than feature expansion alone. For TFC, raw molecular descriptors consistently outperformed the expanded feature set (Q² = 0.583 vs. 0.414), indicating that the additional features introduced noise for this target. These findings demonstrate that feature engineering benefits are target-specific and that parsimonious models may be preferred for certain endpoints.</w:t>
      </w:r>
    </w:p>
    <w:p>
      <w:pPr>
        <w:pStyle w:val="Heading2"/>
        <w:spacing w:before="300" w:after="150"/>
      </w:pPr>
      <w:r>
        <w:rPr>
          <w:rFonts w:ascii="Arial" w:cs="Arial" w:eastAsia="Arial" w:hAnsi="Arial"/>
          <w:b/>
          <w:bCs/>
          <w:sz w:val="24"/>
          <w:szCs w:val="24"/>
        </w:rPr>
        <w:t xml:space="preserve">QSAR model performance</w:t>
      </w:r>
    </w:p>
    <w:p>
      <w:pPr>
        <w:spacing w:after="150"/>
      </w:pPr>
      <w:r>
        <w:rPr>
          <w:rFonts w:ascii="Arial" w:cs="Arial" w:eastAsia="Arial" w:hAnsi="Arial"/>
          <w:i w:val="false"/>
          <w:iCs w:val="false"/>
          <w:sz w:val="22"/>
          <w:szCs w:val="22"/>
        </w:rPr>
        <w:t xml:space="preserve">Table 3 summarizes the best-performing models for each target. The strongest predictive performance was achieved for TFC (Q² = 0.583, Pearson r = 0.692, Extra Trees with 16-feature representation), followed by yield (Q² = 0.341, r = 0.562, Extra Trees), TPC (Q² = 0.198, r = 0.401, Random Forest), and IC50 (Q² = 0.161, r = 0.249, Extra Trees). Purity showed no predictive signal (Q² = −0.002), consistent with the expectation that extraction purity depends primarily on post-extraction processing steps not captured in the current feature space.</w:t>
      </w:r>
    </w:p>
    <w:p>
      <w:pPr>
        <w:spacing w:after="150"/>
      </w:pPr>
      <w:r>
        <w:rPr>
          <w:rFonts w:ascii="Arial" w:cs="Arial" w:eastAsia="Arial" w:hAnsi="Arial"/>
          <w:i w:val="false"/>
          <w:iCs w:val="false"/>
          <w:sz w:val="22"/>
          <w:szCs w:val="22"/>
        </w:rPr>
        <w:t xml:space="preserve">Ensemble tree methods (Extra Trees, Random Forest, XGBoost) consistently outperformed linear models and neural networks across all targets, with Extra Trees achieving the best Q² for three of four predictable targets. The performance gap between tree-based and linear models was most pronounced for TFC (Extra Trees Q² = 0.583 vs. Ridge Q² = 0.074), indicating substantial nonlinear relationships between molecular/extraction features and flavonoid content. Cross-validation standard deviations ranged from 0.04 to 0.13, reflecting moderate fold-to-fold variability consistent with the heterogeneous nature of literature-mined data.</w:t>
      </w:r>
    </w:p>
    <w:p>
      <w:pPr>
        <w:pStyle w:val="Heading2"/>
        <w:spacing w:before="300" w:after="150"/>
      </w:pPr>
      <w:r>
        <w:rPr>
          <w:rFonts w:ascii="Arial" w:cs="Arial" w:eastAsia="Arial" w:hAnsi="Arial"/>
          <w:b/>
          <w:bCs/>
          <w:sz w:val="24"/>
          <w:szCs w:val="24"/>
        </w:rPr>
        <w:t xml:space="preserve">Applicability domain</w:t>
      </w:r>
    </w:p>
    <w:p>
      <w:pPr>
        <w:spacing w:after="150"/>
      </w:pPr>
      <w:r>
        <w:rPr>
          <w:rFonts w:ascii="Arial" w:cs="Arial" w:eastAsia="Arial" w:hAnsi="Arial"/>
          <w:i w:val="false"/>
          <w:iCs w:val="false"/>
          <w:sz w:val="22"/>
          <w:szCs w:val="22"/>
        </w:rPr>
        <w:t xml:space="preserve">Leverage-based AD analysis of the best-performing models confirmed that the training data provide adequate coverage of the prediction space (Table 4). For TFC (Extra Trees, 16 features), 96.8% of cross-validated test samples fell within the AD boundaries (h_ii ≤ h* and |standardized residual| ≤ 3), with a warning leverage threshold h* = 0.047. The corresponding fractions were 95.4% for yield, 94.1% for TPC, and 93.7% for IC50. High-leverage outliers were concentrated among compounds with extreme LogP values (&gt;5 or &lt;−1) or rare extraction methods represented by fewer than 20 records in the dataset.</w:t>
      </w:r>
    </w:p>
    <w:p>
      <w:pPr>
        <w:spacing w:after="150"/>
      </w:pPr>
      <w:r>
        <w:rPr>
          <w:rFonts w:ascii="Arial" w:cs="Arial" w:eastAsia="Arial" w:hAnsi="Arial"/>
          <w:i w:val="false"/>
          <w:iCs w:val="false"/>
          <w:sz w:val="22"/>
          <w:szCs w:val="22"/>
        </w:rPr>
        <w:t xml:space="preserve">PCA-based bounding box analysis yielded consistent results: 97.2% (TFC), 96.1% (yield), 95.3% (TPC), and 94.8% (IC50) of cross-validated test fold samples fell within the convex hull of the training data in the five-component PCA space. Williams plots for all four targets are provided in Figure 4.</w:t>
      </w:r>
    </w:p>
    <w:p>
      <w:pPr>
        <w:pStyle w:val="Heading2"/>
        <w:spacing w:before="300" w:after="150"/>
      </w:pPr>
      <w:r>
        <w:rPr>
          <w:rFonts w:ascii="Arial" w:cs="Arial" w:eastAsia="Arial" w:hAnsi="Arial"/>
          <w:b/>
          <w:bCs/>
          <w:sz w:val="24"/>
          <w:szCs w:val="24"/>
        </w:rPr>
        <w:t xml:space="preserve">Data scaling analysis</w:t>
      </w:r>
    </w:p>
    <w:p>
      <w:pPr>
        <w:spacing w:after="150"/>
      </w:pPr>
      <w:r>
        <w:rPr>
          <w:rFonts w:ascii="Arial" w:cs="Arial" w:eastAsia="Arial" w:hAnsi="Arial"/>
          <w:i w:val="false"/>
          <w:iCs w:val="false"/>
          <w:sz w:val="22"/>
          <w:szCs w:val="22"/>
        </w:rPr>
        <w:t xml:space="preserve">Model performance improved consistently with increasing verified data volume (Figure 2). For yield prediction, Q² improved from 0.254 (N = 1,269) to 0.341 (N = 1,877), a 34% relative improvement from a 48% increase in sample size. Similarly, IC50 prediction improved from Q² = 0.037 to 0.161 (a 335% relative improvement) as the sample size grew from 934 to 1,359 records through targeted mining. This scaling behavior suggests that the models have not yet saturated and that further data collection would continue to improve predictive performance, particularly for targets with weaker current models.</w:t>
      </w:r>
    </w:p>
    <w:p>
      <w:pPr>
        <w:pStyle w:val="Heading2"/>
        <w:spacing w:before="300" w:after="150"/>
      </w:pPr>
      <w:r>
        <w:rPr>
          <w:rFonts w:ascii="Arial" w:cs="Arial" w:eastAsia="Arial" w:hAnsi="Arial"/>
          <w:b/>
          <w:bCs/>
          <w:sz w:val="24"/>
          <w:szCs w:val="24"/>
        </w:rPr>
        <w:t xml:space="preserve">SHAP feature importance</w:t>
      </w:r>
    </w:p>
    <w:p>
      <w:pPr>
        <w:spacing w:after="150"/>
      </w:pPr>
      <w:r>
        <w:rPr>
          <w:rFonts w:ascii="Arial" w:cs="Arial" w:eastAsia="Arial" w:hAnsi="Arial"/>
          <w:i w:val="false"/>
          <w:iCs w:val="false"/>
          <w:sz w:val="22"/>
          <w:szCs w:val="22"/>
        </w:rPr>
        <w:t xml:space="preserve">SHAP analysis of the best tree-based models revealed target-specific feature importance patterns (Figure 3). For TFC prediction, the top features were LogP (mean |SHAP| reflecting the role of compound lipophilicity in flavonoid solvent partitioning), solvent polarity index, and molecular weight. The importance of LogP aligns with the physicochemical principle that flavonoid extraction efficiency is governed by compound–solvent polarity matching. For yield prediction, extraction temperature, method energy input, and time were the dominant features, consistent with the thermodynamic and kinetic drivers of mass transfer during extraction. The TPSA–polarity matching interaction term (TPSA × solvent polarity index) ranked among the top 10 features for both TFC and TPC, validating the domain-motivated feature engineering approach.</w:t>
      </w:r>
    </w:p>
    <w:p>
      <w:pPr>
        <w:spacing w:before="200" w:after="100"/>
        <w:jc w:val="center"/>
      </w:pPr>
      <w:r>
        <w:rPr>
          <w:rFonts w:ascii="Arial" w:cs="Arial" w:eastAsia="Arial" w:hAnsi="Arial"/>
          <w:b/>
          <w:bCs/>
          <w:sz w:val="20"/>
          <w:szCs w:val="20"/>
        </w:rPr>
        <w:t xml:space="preserve">Table 3. </w:t>
      </w:r>
      <w:r>
        <w:rPr>
          <w:rFonts w:ascii="Arial" w:cs="Arial" w:eastAsia="Arial" w:hAnsi="Arial"/>
          <w:sz w:val="20"/>
          <w:szCs w:val="20"/>
        </w:rPr>
        <w:t xml:space="preserve">Best QSAR model performance per target (literature-verified data only, 5-fold nested CV). Best Q² across the 16-feature and 41-feature representations is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1000"/>
        <w:gridCol w:w="1000"/>
        <w:gridCol w:w="1000"/>
        <w:gridCol w:w="1000"/>
        <w:gridCol w:w="1660"/>
      </w:tblGrid>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Target</w:t>
            </w:r>
          </w:p>
        </w:tc>
        <w:tc>
          <w:tcPr>
            <w:tcW w:type="dxa" w:w="1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Best model</w:t>
            </w:r>
          </w:p>
        </w:tc>
        <w:tc>
          <w:tcPr>
            <w:tcW w:type="dxa" w:w="9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N</w:t>
            </w:r>
          </w:p>
        </w:tc>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Train R²</w:t>
            </w:r>
          </w:p>
        </w:tc>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CV R²</w:t>
            </w:r>
          </w:p>
        </w:tc>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Q²</w:t>
            </w:r>
          </w:p>
        </w:tc>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Pearson r</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Features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TFC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Extra Trees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1,022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0.981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0.459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0.583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0.692</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16 (raw)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yield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Extra Trees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1,877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0.576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0.334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0.341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0.562</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16 (raw)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TPC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Random Forest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1,287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0.613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0.196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0.198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0.401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16 (raw)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IC50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Extra Trees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1,359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0.103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0.161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0.249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16 (raw)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purity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Lasso</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1,303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−0.002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−0.054</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18"/>
                <w:szCs w:val="18"/>
              </w:rPr>
              <w:t xml:space="preserve">16 (raw)</w:t>
            </w:r>
          </w:p>
        </w:tc>
      </w:tr>
    </w:tbl>
    <w:p>
      <w:pPr>
        <w:pStyle w:val="Heading1"/>
        <w:spacing w:before="400" w:after="200"/>
      </w:pPr>
      <w:r>
        <w:rPr>
          <w:rFonts w:ascii="Arial" w:cs="Arial" w:eastAsia="Arial" w:hAnsi="Arial"/>
          <w:b/>
          <w:bCs/>
          <w:sz w:val="26"/>
          <w:szCs w:val="26"/>
        </w:rPr>
        <w:t xml:space="preserve">Discussion</w:t>
      </w:r>
    </w:p>
    <w:p>
      <w:pPr>
        <w:spacing w:after="150"/>
      </w:pPr>
      <w:r>
        <w:rPr>
          <w:rFonts w:ascii="Arial" w:cs="Arial" w:eastAsia="Arial" w:hAnsi="Arial"/>
          <w:i w:val="false"/>
          <w:iCs w:val="false"/>
          <w:sz w:val="22"/>
          <w:szCs w:val="22"/>
        </w:rPr>
        <w:t xml:space="preserve">This study demonstrates that automated literature mining, combined with cheminformatics-based feature engineering and transparent data provenance tracking, can produce predictive QSAR models for phytochemical extraction outcomes. The achieved Q² values (0.583 for TFC, 0.341 for yield) compare favorably with QSAR models reported for other multi-parameter prediction tasks in natural product research, where Q² values of 0.4–0.7 are typically considered acceptable [21, 23].</w:t>
      </w:r>
    </w:p>
    <w:p>
      <w:pPr>
        <w:spacing w:after="150"/>
      </w:pPr>
      <w:r>
        <w:rPr>
          <w:rFonts w:ascii="Arial" w:cs="Arial" w:eastAsia="Arial" w:hAnsi="Arial"/>
          <w:i w:val="false"/>
          <w:iCs w:val="false"/>
          <w:sz w:val="22"/>
          <w:szCs w:val="22"/>
        </w:rPr>
        <w:t xml:space="preserve">The target-dependent model performance has clear physicochemical explanations. TFC showed the strongest predictivity because flavonoid content is primarily governed by compound–solvent polarity matching, which is well-captured by LogP and solvent descriptors. Yield, while also predictable, depends more heavily on process parameters (temperature, time, energy) that exhibit complex interactions with compound properties. TPC, as a composite measure of total phenolics encompassing structurally diverse compounds, inherently has a weaker relationship to individual compound descriptors. IC50 values are assay-dependent and influenced by factors (cell line, assay protocol, incubation time) not captured in extraction parameters, explaining the weakest predictivity.</w:t>
      </w:r>
    </w:p>
    <w:p>
      <w:pPr>
        <w:spacing w:after="150"/>
      </w:pPr>
      <w:r>
        <w:rPr>
          <w:rFonts w:ascii="Arial" w:cs="Arial" w:eastAsia="Arial" w:hAnsi="Arial"/>
          <w:i w:val="false"/>
          <w:iCs w:val="false"/>
          <w:sz w:val="22"/>
          <w:szCs w:val="22"/>
        </w:rPr>
        <w:t xml:space="preserve">The explicit provenance tracking system proved essential for preventing data leakage. Early experiments in which models were trained on computationally augmented data and tested on literature-verified records produced Q² ≈ 0 across all targets, confirming that the augmented records lacked genuine structure–activity relationships. This negative result validated the provenance-based data separation strategy and underscores why rigorous data quality controls are necessary in QSAR studies built on heterogeneous sources.</w:t>
      </w:r>
    </w:p>
    <w:p>
      <w:pPr>
        <w:spacing w:after="150"/>
      </w:pPr>
      <w:r>
        <w:rPr>
          <w:rFonts w:ascii="Arial" w:cs="Arial" w:eastAsia="Arial" w:hAnsi="Arial"/>
          <w:i w:val="false"/>
          <w:iCs w:val="false"/>
          <w:sz w:val="22"/>
          <w:szCs w:val="22"/>
        </w:rPr>
        <w:t xml:space="preserve">The leverage-based AD analysis confirmed that the models operate within a well-characterized chemical and parametric space, with &gt;93% of cross-validated samples falling within the defined boundaries for all four targets. The high-leverage outliers identified—compounds with extreme LogP values or rare extraction methods—provide actionable guidance for prioritizing future data collection efforts. Users of the pipeline should flag predictions for compounds or conditions falling outside the defined AD as unreliable, consistent with OECD QSAR validation requirements [26].</w:t>
      </w:r>
    </w:p>
    <w:p>
      <w:pPr>
        <w:spacing w:after="150"/>
      </w:pPr>
      <w:r>
        <w:rPr>
          <w:rFonts w:ascii="Arial" w:cs="Arial" w:eastAsia="Arial" w:hAnsi="Arial"/>
          <w:i w:val="false"/>
          <w:iCs w:val="false"/>
          <w:sz w:val="22"/>
          <w:szCs w:val="22"/>
        </w:rPr>
        <w:t xml:space="preserve">The feature engineering analysis revealed that more features do not always improve predictions. For TFC, the 16-feature representation (Q² = 0.583) outperformed the 41-feature representation (Q² = 0.414). This outcome is consistent with the bias–variance tradeoff [24]: when the signal is concentrated in a few descriptors (LogP, polarity), additional features introduce noise that tree-based models cannot fully ignore despite built-in feature selection. This finding argues for target-specific feature selection in multi-endpoint QSAR studies.</w:t>
      </w:r>
    </w:p>
    <w:p>
      <w:pPr>
        <w:spacing w:after="150"/>
      </w:pPr>
      <w:r>
        <w:rPr>
          <w:rFonts w:ascii="Arial" w:cs="Arial" w:eastAsia="Arial" w:hAnsi="Arial"/>
          <w:i w:val="false"/>
          <w:iCs w:val="false"/>
          <w:sz w:val="22"/>
          <w:szCs w:val="22"/>
        </w:rPr>
        <w:t xml:space="preserve">The data scaling analysis provides practical guidance for future work. The consistent improvement in Q² with increasing sample size—particularly the IC50 improvement from 0.037 to 0.161—indicates that the current models are data-limited rather than method-limited. Continued mining of the phytochemical extraction literature, possibly augmented by automated table extraction from PDFs using modern NLP tools [25], would be expected to improve predictive performance without requiring algorithmic changes.</w:t>
      </w:r>
    </w:p>
    <w:p>
      <w:pPr>
        <w:spacing w:after="150"/>
      </w:pPr>
      <w:r>
        <w:rPr>
          <w:rFonts w:ascii="Arial" w:cs="Arial" w:eastAsia="Arial" w:hAnsi="Arial"/>
          <w:i w:val="false"/>
          <w:iCs w:val="false"/>
          <w:sz w:val="22"/>
          <w:szCs w:val="22"/>
        </w:rPr>
        <w:t xml:space="preserve">Several limitations merit discussion. First, the regex-based extraction pipeline has inherent precision limitations and cannot capture tabulated data from PDFs. Second, the dataset reflects the reporting biases of the published literature: positive results and common compounds (e.g., quercetin, curcumin) are overrepresented. Third, the current models do not account for plant material variability (cultivar, growing conditions, harvest time), which contributes to extraction outcome variance. Fourth, the feature engineering relies on published reference values for solvent and method properties, which may not accurately represent all experimental conditions (e.g., modified solvent systems, non-standard equipment settings). Fifth, the pipeline did not systematically capture or filter for compound purity metadata from the source publications. Given that purity reporting is inconsistent across the extraction literature, the moderate fold-to-fold variability observed in cross-validation (SD = 0.04–0.13) may be partially attributable to unquantified impurities in the compounds analyzed in the original studies. Future iterations of the pipeline should incorporate purity-aware filtering where such data are available.</w:t>
      </w:r>
    </w:p>
    <w:p>
      <w:pPr>
        <w:pStyle w:val="Heading1"/>
        <w:spacing w:before="400" w:after="200"/>
      </w:pPr>
      <w:r>
        <w:rPr>
          <w:rFonts w:ascii="Arial" w:cs="Arial" w:eastAsia="Arial" w:hAnsi="Arial"/>
          <w:b/>
          <w:bCs/>
          <w:sz w:val="26"/>
          <w:szCs w:val="26"/>
        </w:rPr>
        <w:t xml:space="preserve">Conclusions</w:t>
      </w:r>
    </w:p>
    <w:p>
      <w:pPr>
        <w:spacing w:after="150"/>
      </w:pPr>
      <w:r>
        <w:rPr>
          <w:rFonts w:ascii="Arial" w:cs="Arial" w:eastAsia="Arial" w:hAnsi="Arial"/>
          <w:i w:val="false"/>
          <w:iCs w:val="false"/>
          <w:sz w:val="22"/>
          <w:szCs w:val="22"/>
        </w:rPr>
        <w:t xml:space="preserve">We have presented PhytoExtractQSAR, an automated cheminformatics pipeline for building QSAR models of phytochemical extraction outcomes from literature-mined data. The pipeline integrates PubMed search, PDF extraction, RDKit molecular descriptors, domain-informed feature engineering, and multi-algorithm modeling with rigorous nested cross-validation. The best models achieved Q² = 0.583 for TFC and Q² = 0.341 for yield, with SHAP analysis providing interpretable feature importance rankings consistent with established extraction science. Leverage-based applicability domain assessment confirmed that &gt;93% of predictions fall within the reliable chemical and parametric space.</w:t>
      </w:r>
    </w:p>
    <w:p>
      <w:pPr>
        <w:spacing w:after="150"/>
      </w:pPr>
      <w:r>
        <w:rPr>
          <w:rFonts w:ascii="Arial" w:cs="Arial" w:eastAsia="Arial" w:hAnsi="Arial"/>
          <w:i w:val="false"/>
          <w:iCs w:val="false"/>
          <w:sz w:val="22"/>
          <w:szCs w:val="22"/>
        </w:rPr>
        <w:t xml:space="preserve">The transparent data provenance system—tracking literature-verified versus augmented records—proved essential for unbiased model evaluation and should be considered standard practice in QSAR studies built on heterogeneous data. The demonstrated data scaling behavior suggests substantial room for improvement through continued literature mining, making this a living framework that improves with each iteration.</w:t>
      </w:r>
    </w:p>
    <w:p>
      <w:pPr>
        <w:spacing w:after="150"/>
      </w:pPr>
      <w:r>
        <w:rPr>
          <w:rFonts w:ascii="Arial" w:cs="Arial" w:eastAsia="Arial" w:hAnsi="Arial"/>
          <w:i w:val="false"/>
          <w:iCs w:val="false"/>
          <w:sz w:val="22"/>
          <w:szCs w:val="22"/>
        </w:rPr>
        <w:t xml:space="preserve">All code, datasets, and trained models are released as open-source resources to support reproducible research in computational phytochemistry.</w:t>
      </w:r>
    </w:p>
    <w:p>
      <w:pPr>
        <w:pStyle w:val="Heading1"/>
        <w:spacing w:before="400" w:after="200"/>
      </w:pPr>
      <w:r>
        <w:rPr>
          <w:rFonts w:ascii="Arial" w:cs="Arial" w:eastAsia="Arial" w:hAnsi="Arial"/>
          <w:b/>
          <w:bCs/>
          <w:sz w:val="26"/>
          <w:szCs w:val="26"/>
        </w:rPr>
        <w:t xml:space="preserve">Declarations</w:t>
      </w:r>
    </w:p>
    <w:p>
      <w:pPr>
        <w:pStyle w:val="Heading2"/>
        <w:spacing w:before="300" w:after="150"/>
      </w:pPr>
      <w:r>
        <w:rPr>
          <w:rFonts w:ascii="Arial" w:cs="Arial" w:eastAsia="Arial" w:hAnsi="Arial"/>
          <w:b/>
          <w:bCs/>
          <w:sz w:val="24"/>
          <w:szCs w:val="24"/>
        </w:rPr>
        <w:t xml:space="preserve">Ethics approval and consent to participate</w:t>
      </w:r>
    </w:p>
    <w:p>
      <w:pPr>
        <w:spacing w:after="150"/>
      </w:pPr>
      <w:r>
        <w:rPr>
          <w:rFonts w:ascii="Arial" w:cs="Arial" w:eastAsia="Arial" w:hAnsi="Arial"/>
          <w:i w:val="false"/>
          <w:iCs w:val="false"/>
          <w:sz w:val="22"/>
          <w:szCs w:val="22"/>
        </w:rPr>
        <w:t xml:space="preserve">Not applicable. This study is purely computational and based on data mined from previously published literature.</w:t>
      </w:r>
    </w:p>
    <w:p>
      <w:pPr>
        <w:pStyle w:val="Heading2"/>
        <w:spacing w:before="300" w:after="150"/>
      </w:pPr>
      <w:r>
        <w:rPr>
          <w:rFonts w:ascii="Arial" w:cs="Arial" w:eastAsia="Arial" w:hAnsi="Arial"/>
          <w:b/>
          <w:bCs/>
          <w:sz w:val="24"/>
          <w:szCs w:val="24"/>
        </w:rPr>
        <w:t xml:space="preserve">Consent for publication</w:t>
      </w:r>
    </w:p>
    <w:p>
      <w:pPr>
        <w:spacing w:after="150"/>
      </w:pPr>
      <w:r>
        <w:rPr>
          <w:rFonts w:ascii="Arial" w:cs="Arial" w:eastAsia="Arial" w:hAnsi="Arial"/>
          <w:i w:val="false"/>
          <w:iCs w:val="false"/>
          <w:sz w:val="22"/>
          <w:szCs w:val="22"/>
        </w:rPr>
        <w:t xml:space="preserve">Not applicable. This study does not contain data from any individual person.</w:t>
      </w:r>
    </w:p>
    <w:p>
      <w:pPr>
        <w:pStyle w:val="Heading2"/>
        <w:spacing w:before="300" w:after="150"/>
      </w:pPr>
      <w:r>
        <w:rPr>
          <w:rFonts w:ascii="Arial" w:cs="Arial" w:eastAsia="Arial" w:hAnsi="Arial"/>
          <w:b/>
          <w:bCs/>
          <w:sz w:val="24"/>
          <w:szCs w:val="24"/>
        </w:rPr>
        <w:t xml:space="preserve">Competing interests</w:t>
      </w:r>
    </w:p>
    <w:p>
      <w:pPr>
        <w:spacing w:after="150"/>
      </w:pPr>
      <w:r>
        <w:rPr>
          <w:rFonts w:ascii="Arial" w:cs="Arial" w:eastAsia="Arial" w:hAnsi="Arial"/>
          <w:i w:val="false"/>
          <w:iCs w:val="false"/>
          <w:sz w:val="22"/>
          <w:szCs w:val="22"/>
        </w:rPr>
        <w:t xml:space="preserve">The authors declare that they have no competing interests.</w:t>
      </w:r>
    </w:p>
    <w:p>
      <w:pPr>
        <w:pStyle w:val="Heading2"/>
        <w:spacing w:before="300" w:after="150"/>
      </w:pPr>
      <w:r>
        <w:rPr>
          <w:rFonts w:ascii="Arial" w:cs="Arial" w:eastAsia="Arial" w:hAnsi="Arial"/>
          <w:b/>
          <w:bCs/>
          <w:sz w:val="24"/>
          <w:szCs w:val="24"/>
        </w:rPr>
        <w:t xml:space="preserve">Funding</w:t>
      </w:r>
    </w:p>
    <w:p>
      <w:pPr>
        <w:spacing w:after="150"/>
      </w:pPr>
      <w:r>
        <w:rPr>
          <w:rFonts w:ascii="Arial" w:cs="Arial" w:eastAsia="Arial" w:hAnsi="Arial"/>
          <w:i/>
          <w:iCs/>
          <w:sz w:val="22"/>
          <w:szCs w:val="22"/>
        </w:rPr>
        <w:t xml:space="preserve">[To be completed: Declare all sources of institutional or grant funding, or state “Not applicable” if no external funding was received.]</w:t>
      </w:r>
    </w:p>
    <w:p>
      <w:pPr>
        <w:pStyle w:val="Heading2"/>
        <w:spacing w:before="300" w:after="150"/>
      </w:pPr>
      <w:r>
        <w:rPr>
          <w:rFonts w:ascii="Arial" w:cs="Arial" w:eastAsia="Arial" w:hAnsi="Arial"/>
          <w:b/>
          <w:bCs/>
          <w:sz w:val="24"/>
          <w:szCs w:val="24"/>
        </w:rPr>
        <w:t xml:space="preserve">Authors’ contributions</w:t>
      </w:r>
    </w:p>
    <w:p>
      <w:pPr>
        <w:spacing w:after="150"/>
      </w:pPr>
      <w:r>
        <w:rPr>
          <w:rFonts w:ascii="Arial" w:cs="Arial" w:eastAsia="Arial" w:hAnsi="Arial"/>
          <w:i/>
          <w:iCs/>
          <w:sz w:val="22"/>
          <w:szCs w:val="22"/>
        </w:rPr>
        <w:t xml:space="preserve">[To be completed using CRediT taxonomy: SMA — Conceptualization, Methodology, Software, Formal analysis, Data curation, Writing—original draft. [Co-author initials] — Supervision, Writing—review &amp; editing, [other roles]. All authors read and approved the final manuscript.]</w:t>
      </w:r>
    </w:p>
    <w:p>
      <w:pPr>
        <w:pStyle w:val="Heading2"/>
        <w:spacing w:before="300" w:after="150"/>
      </w:pPr>
      <w:r>
        <w:rPr>
          <w:rFonts w:ascii="Arial" w:cs="Arial" w:eastAsia="Arial" w:hAnsi="Arial"/>
          <w:b/>
          <w:bCs/>
          <w:sz w:val="24"/>
          <w:szCs w:val="24"/>
        </w:rPr>
        <w:t xml:space="preserve">Acknowledgements</w:t>
      </w:r>
    </w:p>
    <w:p>
      <w:pPr>
        <w:spacing w:after="150"/>
      </w:pPr>
      <w:r>
        <w:rPr>
          <w:rFonts w:ascii="Arial" w:cs="Arial" w:eastAsia="Arial" w:hAnsi="Arial"/>
          <w:i/>
          <w:iCs/>
          <w:sz w:val="22"/>
          <w:szCs w:val="22"/>
        </w:rPr>
        <w:t xml:space="preserve">[To be completed: Acknowledge any non-author contributions, computational resource grants, or institutional support, or state “Not applicable”.]</w:t>
      </w:r>
    </w:p>
    <w:p>
      <w:pPr>
        <w:pStyle w:val="Heading2"/>
        <w:spacing w:before="300" w:after="150"/>
      </w:pPr>
      <w:r>
        <w:rPr>
          <w:rFonts w:ascii="Arial" w:cs="Arial" w:eastAsia="Arial" w:hAnsi="Arial"/>
          <w:b/>
          <w:bCs/>
          <w:sz w:val="24"/>
          <w:szCs w:val="24"/>
        </w:rPr>
        <w:t xml:space="preserve">Availability of data and materials</w:t>
      </w:r>
    </w:p>
    <w:p>
      <w:pPr>
        <w:spacing w:after="150"/>
      </w:pPr>
      <w:r>
        <w:rPr>
          <w:rFonts w:ascii="Arial" w:cs="Arial" w:eastAsia="Arial" w:hAnsi="Arial"/>
          <w:i w:val="false"/>
          <w:iCs w:val="false"/>
          <w:sz w:val="22"/>
          <w:szCs w:val="22"/>
        </w:rPr>
        <w:t xml:space="preserve">All source code, datasets (including provenance metadata), trained model files, and analysis notebooks are available at [GitHub repository URL] (archived at [Zenodo DOI]) under an MIT license, in compliance with Journal of Cheminformatics reproducibility requirements. The literature-verified dataset (1,877 records) is provided as a FAIR-compliant CSV file (Additional File 1). SMILES representations and molecular descriptors for all 94 compounds are provided in SDF format (Additional File 2) with PubChem CID cross-references.</w:t>
      </w:r>
    </w:p>
    <w:p>
      <w:pPr>
        <w:pStyle w:val="Heading2"/>
        <w:spacing w:before="300" w:after="150"/>
      </w:pPr>
      <w:r>
        <w:rPr>
          <w:rFonts w:ascii="Arial" w:cs="Arial" w:eastAsia="Arial" w:hAnsi="Arial"/>
          <w:b/>
          <w:bCs/>
          <w:sz w:val="24"/>
          <w:szCs w:val="24"/>
        </w:rPr>
        <w:t xml:space="preserve">Declaration of generative AI and AI-assisted technologies in the writing process</w:t>
      </w:r>
    </w:p>
    <w:p>
      <w:pPr>
        <w:spacing w:after="150"/>
      </w:pPr>
      <w:r>
        <w:rPr>
          <w:rFonts w:ascii="Arial" w:cs="Arial" w:eastAsia="Arial" w:hAnsi="Arial"/>
          <w:i w:val="false"/>
          <w:iCs w:val="false"/>
          <w:sz w:val="22"/>
          <w:szCs w:val="22"/>
        </w:rPr>
        <w:t xml:space="preserve">During the preparation of this work, the authors used Claude (Anthropic) to assist in structuring the manuscript narrative and improving linguistic clarity. After using this tool, the authors thoroughly reviewed, edited, and validated all generated content, and take full and sole responsibility for the accuracy, originality, and scientific integrity of the final publication. No AI tool was used to generate scientific data, analyze results, or draw conclusions. All figures and visualizations were generated using deterministic software (Python, matplotlib, RDKit).</w:t>
      </w:r>
    </w:p>
    <w:p>
      <w:pPr>
        <w:pStyle w:val="Heading1"/>
        <w:spacing w:before="400" w:after="200"/>
      </w:pPr>
      <w:r>
        <w:rPr>
          <w:rFonts w:ascii="Arial" w:cs="Arial" w:eastAsia="Arial" w:hAnsi="Arial"/>
          <w:b/>
          <w:bCs/>
          <w:sz w:val="26"/>
          <w:szCs w:val="26"/>
        </w:rPr>
        <w:t xml:space="preserve">References</w:t>
      </w:r>
    </w:p>
    <w:p>
      <w:pPr>
        <w:spacing w:after="80"/>
      </w:pPr>
      <w:r>
        <w:rPr>
          <w:rFonts w:ascii="Arial" w:cs="Arial" w:eastAsia="Arial" w:hAnsi="Arial"/>
          <w:sz w:val="20"/>
          <w:szCs w:val="20"/>
        </w:rPr>
        <w:t xml:space="preserve">1. Azmir J, Zaidul ISM, Rahman MM et al (2013) Techniques for extraction of bioactive compounds from plant materials: a review. J Food Eng 117(4):426–436</w:t>
      </w:r>
    </w:p>
    <w:p>
      <w:pPr>
        <w:spacing w:after="80"/>
      </w:pPr>
      <w:r>
        <w:rPr>
          <w:rFonts w:ascii="Arial" w:cs="Arial" w:eastAsia="Arial" w:hAnsi="Arial"/>
          <w:sz w:val="20"/>
          <w:szCs w:val="20"/>
        </w:rPr>
        <w:t xml:space="preserve">2. Zhang QW, Lin LG, Ye WC (2018) Techniques for extraction and isolation of natural products: a comprehensive review. Chin Med 13:20</w:t>
      </w:r>
    </w:p>
    <w:p>
      <w:pPr>
        <w:spacing w:after="80"/>
      </w:pPr>
      <w:r>
        <w:rPr>
          <w:rFonts w:ascii="Arial" w:cs="Arial" w:eastAsia="Arial" w:hAnsi="Arial"/>
          <w:sz w:val="20"/>
          <w:szCs w:val="20"/>
        </w:rPr>
        <w:t xml:space="preserve">3. Belwal T, Ezzat SM, Rastrelli L et al (2018) A critical analysis of extraction techniques used for botanicals: trends, priorities, industrial uses and optimization strategies. TrAC Trends Anal Chem 100:82–95</w:t>
      </w:r>
    </w:p>
    <w:p>
      <w:pPr>
        <w:spacing w:after="80"/>
      </w:pPr>
      <w:r>
        <w:rPr>
          <w:rFonts w:ascii="Arial" w:cs="Arial" w:eastAsia="Arial" w:hAnsi="Arial"/>
          <w:sz w:val="20"/>
          <w:szCs w:val="20"/>
        </w:rPr>
        <w:t xml:space="preserve">4. Bezerra MA, Santelli RE, Oliveira EP, Villar LS, Escaleira LA (2008) Response surface methodology (RSM) as a tool for optimization in analytical chemistry. Talanta 76(5):965–977</w:t>
      </w:r>
    </w:p>
    <w:p>
      <w:pPr>
        <w:spacing w:after="80"/>
      </w:pPr>
      <w:r>
        <w:rPr>
          <w:rFonts w:ascii="Arial" w:cs="Arial" w:eastAsia="Arial" w:hAnsi="Arial"/>
          <w:sz w:val="20"/>
          <w:szCs w:val="20"/>
        </w:rPr>
        <w:t xml:space="preserve">5. Cherkasov A, Muratov EN, Fourches D et al (2014) QSAR modeling: where have you been? Where are you going to? J Med Chem 57(12):4977–5010</w:t>
      </w:r>
    </w:p>
    <w:p>
      <w:pPr>
        <w:spacing w:after="80"/>
      </w:pPr>
      <w:r>
        <w:rPr>
          <w:rFonts w:ascii="Arial" w:cs="Arial" w:eastAsia="Arial" w:hAnsi="Arial"/>
          <w:sz w:val="20"/>
          <w:szCs w:val="20"/>
        </w:rPr>
        <w:t xml:space="preserve">6. Muratov EN, Bajorath J, Sheridan RP et al (2020) QSAR without borders. Chem Soc Rev 49(11):3525–3564</w:t>
      </w:r>
    </w:p>
    <w:p>
      <w:pPr>
        <w:spacing w:after="80"/>
      </w:pPr>
      <w:r>
        <w:rPr>
          <w:rFonts w:ascii="Arial" w:cs="Arial" w:eastAsia="Arial" w:hAnsi="Arial"/>
          <w:sz w:val="20"/>
          <w:szCs w:val="20"/>
        </w:rPr>
        <w:t xml:space="preserve">7. Tropsha A (2010) Best practices for QSAR model development, validation, and exploitation. Mol Inform 29(6–7):476–488</w:t>
      </w:r>
    </w:p>
    <w:p>
      <w:pPr>
        <w:spacing w:after="80"/>
      </w:pPr>
      <w:r>
        <w:rPr>
          <w:rFonts w:ascii="Arial" w:cs="Arial" w:eastAsia="Arial" w:hAnsi="Arial"/>
          <w:sz w:val="20"/>
          <w:szCs w:val="20"/>
        </w:rPr>
        <w:t xml:space="preserve">8. Lo YC, Rensi SE, Torng W, Altman RB (2018) Machine learning in chemoinformatics and drug discovery. Drug Discov Today 23(8):1538–1546</w:t>
      </w:r>
    </w:p>
    <w:p>
      <w:pPr>
        <w:spacing w:after="80"/>
      </w:pPr>
      <w:r>
        <w:rPr>
          <w:rFonts w:ascii="Arial" w:cs="Arial" w:eastAsia="Arial" w:hAnsi="Arial"/>
          <w:sz w:val="20"/>
          <w:szCs w:val="20"/>
        </w:rPr>
        <w:t xml:space="preserve">9. Saha S, Rajpal DK (2022) Machine learning approaches in phytochemical research: a systematic review. Phytochemistry 200:113265</w:t>
      </w:r>
    </w:p>
    <w:p>
      <w:pPr>
        <w:spacing w:after="80"/>
      </w:pPr>
      <w:r>
        <w:rPr>
          <w:rFonts w:ascii="Arial" w:cs="Arial" w:eastAsia="Arial" w:hAnsi="Arial"/>
          <w:sz w:val="20"/>
          <w:szCs w:val="20"/>
        </w:rPr>
        <w:t xml:space="preserve">10. Pinzi L, Rastelli G (2019) Molecular docking: shifting paradigms in drug discovery. Int J Mol Sci 20(18):4331</w:t>
      </w:r>
    </w:p>
    <w:p>
      <w:pPr>
        <w:spacing w:after="80"/>
      </w:pPr>
      <w:r>
        <w:rPr>
          <w:rFonts w:ascii="Arial" w:cs="Arial" w:eastAsia="Arial" w:hAnsi="Arial"/>
          <w:sz w:val="20"/>
          <w:szCs w:val="20"/>
        </w:rPr>
        <w:t xml:space="preserve">11. Mendez D, Gaulton A, Bento AP et al (2019) ChEMBL: towards direct deposition of bioassay data. Nucleic Acids Res 47(D1):D930–D940</w:t>
      </w:r>
    </w:p>
    <w:p>
      <w:pPr>
        <w:spacing w:after="80"/>
      </w:pPr>
      <w:r>
        <w:rPr>
          <w:rFonts w:ascii="Arial" w:cs="Arial" w:eastAsia="Arial" w:hAnsi="Arial"/>
          <w:sz w:val="20"/>
          <w:szCs w:val="20"/>
        </w:rPr>
        <w:t xml:space="preserve">12. Kim S, Chen J, Cheng T et al (2023) PubChem 2023 update. Nucleic Acids Res 51(D1):D1373–D1380</w:t>
      </w:r>
    </w:p>
    <w:p>
      <w:pPr>
        <w:spacing w:after="80"/>
      </w:pPr>
      <w:r>
        <w:rPr>
          <w:rFonts w:ascii="Arial" w:cs="Arial" w:eastAsia="Arial" w:hAnsi="Arial"/>
          <w:sz w:val="20"/>
          <w:szCs w:val="20"/>
        </w:rPr>
        <w:t xml:space="preserve">13. Atanasov AG, Zotchev SB, Dirsch VM, Supuran CT (2021) Natural products in drug discovery: advances and opportunities. Nat Rev Drug Discov 20(3):200–216</w:t>
      </w:r>
    </w:p>
    <w:p>
      <w:pPr>
        <w:spacing w:after="80"/>
      </w:pPr>
      <w:r>
        <w:rPr>
          <w:rFonts w:ascii="Arial" w:cs="Arial" w:eastAsia="Arial" w:hAnsi="Arial"/>
          <w:sz w:val="20"/>
          <w:szCs w:val="20"/>
        </w:rPr>
        <w:t xml:space="preserve">14. Krallinger M, Rabal O, Lourenco A et al (2017) Information retrieval and text mining technologies for chemistry. Chem Rev 117(12):7673–7761</w:t>
      </w:r>
    </w:p>
    <w:p>
      <w:pPr>
        <w:spacing w:after="80"/>
      </w:pPr>
      <w:r>
        <w:rPr>
          <w:rFonts w:ascii="Arial" w:cs="Arial" w:eastAsia="Arial" w:hAnsi="Arial"/>
          <w:sz w:val="20"/>
          <w:szCs w:val="20"/>
        </w:rPr>
        <w:t xml:space="preserve">15. Jessop DM, Adams SE, Willighagen EL, Hawizy L, Murray-Rust P (2011) OSCAR4: a flexible architecture for chemical text-mining. J Cheminform 3:41</w:t>
      </w:r>
    </w:p>
    <w:p>
      <w:pPr>
        <w:spacing w:after="80"/>
      </w:pPr>
      <w:r>
        <w:rPr>
          <w:rFonts w:ascii="Arial" w:cs="Arial" w:eastAsia="Arial" w:hAnsi="Arial"/>
          <w:sz w:val="20"/>
          <w:szCs w:val="20"/>
        </w:rPr>
        <w:t xml:space="preserve">16. RDKit: Open-source cheminformatics. https://www.rdkit.org. Accessed 15 Feb 2026</w:t>
      </w:r>
    </w:p>
    <w:p>
      <w:pPr>
        <w:spacing w:after="80"/>
      </w:pPr>
      <w:r>
        <w:rPr>
          <w:rFonts w:ascii="Arial" w:cs="Arial" w:eastAsia="Arial" w:hAnsi="Arial"/>
          <w:sz w:val="20"/>
          <w:szCs w:val="20"/>
        </w:rPr>
        <w:t xml:space="preserve">17. Cock PJA, Antao T, Chang JT et al (2009) Biopython: freely available Python tools for computational molecular biology and bioinformatics. Bioinformatics 25(11):1422–1423</w:t>
      </w:r>
    </w:p>
    <w:p>
      <w:pPr>
        <w:spacing w:after="80"/>
      </w:pPr>
      <w:r>
        <w:rPr>
          <w:rFonts w:ascii="Arial" w:cs="Arial" w:eastAsia="Arial" w:hAnsi="Arial"/>
          <w:sz w:val="20"/>
          <w:szCs w:val="20"/>
        </w:rPr>
        <w:t xml:space="preserve">18. Hansen CM (2007) Hansen Solubility Parameters: A User’s Handbook, 2nd edn. CRC Press, Boca Raton</w:t>
      </w:r>
    </w:p>
    <w:p>
      <w:pPr>
        <w:spacing w:after="80"/>
      </w:pPr>
      <w:r>
        <w:rPr>
          <w:rFonts w:ascii="Arial" w:cs="Arial" w:eastAsia="Arial" w:hAnsi="Arial"/>
          <w:sz w:val="20"/>
          <w:szCs w:val="20"/>
        </w:rPr>
        <w:t xml:space="preserve">19. Chemat F, Vian MA, Cravotto G (2012) Green extraction of natural products: concept and principles. Int J Mol Sci 13(7):8615–8627</w:t>
      </w:r>
    </w:p>
    <w:p>
      <w:pPr>
        <w:spacing w:after="80"/>
      </w:pPr>
      <w:r>
        <w:rPr>
          <w:rFonts w:ascii="Arial" w:cs="Arial" w:eastAsia="Arial" w:hAnsi="Arial"/>
          <w:sz w:val="20"/>
          <w:szCs w:val="20"/>
        </w:rPr>
        <w:t xml:space="preserve">20. Chen T, Guestrin C (2016) XGBoost: a scalable tree boosting system. In: Proc 22nd ACM SIGKDD, pp 785–794</w:t>
      </w:r>
    </w:p>
    <w:p>
      <w:pPr>
        <w:spacing w:after="80"/>
      </w:pPr>
      <w:r>
        <w:rPr>
          <w:rFonts w:ascii="Arial" w:cs="Arial" w:eastAsia="Arial" w:hAnsi="Arial"/>
          <w:sz w:val="20"/>
          <w:szCs w:val="20"/>
        </w:rPr>
        <w:t xml:space="preserve">21. Consonni V, Ballabio D, Todeschini R (2010) Evaluation of model predictive ability by external validation techniques. J Chemom 24(3–4):194–201</w:t>
      </w:r>
    </w:p>
    <w:p>
      <w:pPr>
        <w:spacing w:after="80"/>
      </w:pPr>
      <w:r>
        <w:rPr>
          <w:rFonts w:ascii="Arial" w:cs="Arial" w:eastAsia="Arial" w:hAnsi="Arial"/>
          <w:sz w:val="20"/>
          <w:szCs w:val="20"/>
        </w:rPr>
        <w:t xml:space="preserve">22. Lundberg SM, Lee SI (2017) A unified approach to interpreting model predictions. In: Advances in Neural Information Processing Systems, vol 30</w:t>
      </w:r>
    </w:p>
    <w:p>
      <w:pPr>
        <w:spacing w:after="80"/>
      </w:pPr>
      <w:r>
        <w:rPr>
          <w:rFonts w:ascii="Arial" w:cs="Arial" w:eastAsia="Arial" w:hAnsi="Arial"/>
          <w:sz w:val="20"/>
          <w:szCs w:val="20"/>
        </w:rPr>
        <w:t xml:space="preserve">23. Neves BJ, Braga RC, Melo-Filho CC et al (2018) QSAR-based virtual screening: advances and applications in drug discovery. Front Pharmacol 9:1275</w:t>
      </w:r>
    </w:p>
    <w:p>
      <w:pPr>
        <w:spacing w:after="80"/>
      </w:pPr>
      <w:r>
        <w:rPr>
          <w:rFonts w:ascii="Arial" w:cs="Arial" w:eastAsia="Arial" w:hAnsi="Arial"/>
          <w:sz w:val="20"/>
          <w:szCs w:val="20"/>
        </w:rPr>
        <w:t xml:space="preserve">24. Hastie T, Tibshirani R, Friedman J (2009) The Elements of Statistical Learning, 2nd edn. Springer, New York</w:t>
      </w:r>
    </w:p>
    <w:p>
      <w:pPr>
        <w:spacing w:after="80"/>
      </w:pPr>
      <w:r>
        <w:rPr>
          <w:rFonts w:ascii="Arial" w:cs="Arial" w:eastAsia="Arial" w:hAnsi="Arial"/>
          <w:sz w:val="20"/>
          <w:szCs w:val="20"/>
        </w:rPr>
        <w:t xml:space="preserve">25. Huang J, Stanovsky G, Jain S et al (2022) TableFormer: robust transformer modeling for table-text encoding. In: Proc ACL, pp 528–537</w:t>
      </w:r>
    </w:p>
    <w:p>
      <w:pPr>
        <w:spacing w:after="80"/>
      </w:pPr>
      <w:r>
        <w:rPr>
          <w:rFonts w:ascii="Arial" w:cs="Arial" w:eastAsia="Arial" w:hAnsi="Arial"/>
          <w:sz w:val="20"/>
          <w:szCs w:val="20"/>
        </w:rPr>
        <w:t xml:space="preserve">26. Tropsha A (2003) Validation of QSAR models. In: Benigni R (ed) Quantitative Structure–Activity Relationships (QSAR) for Pesticide Regulatory Purposes. Elsevier, Amsterdam, pp 45–71</w:t>
      </w:r>
    </w:p>
    <w:p>
      <w:pPr>
        <w:spacing w:after="80"/>
      </w:pPr>
      <w:r>
        <w:rPr>
          <w:rFonts w:ascii="Arial" w:cs="Arial" w:eastAsia="Arial" w:hAnsi="Arial"/>
          <w:sz w:val="20"/>
          <w:szCs w:val="20"/>
        </w:rPr>
        <w:t xml:space="preserve">27. Eriksson L, Jaworska J, Worth AP, Cronin MTD, McDowell RM, Gramatica P (2003) Methods for reliability and uncertainty assessment and for applicability evaluations of classification- and regression-based QSARs. Environ Health Perspect 111(10):1361–1375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PhytoExtractQSAR — Journal of Cheminformatics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26"/>
      <w:szCs w:val="26"/>
    </w:rPr>
  </w:style>
  <w:style w:type="paragraph" w:styleId="Heading2">
    <w:name w:val="Heading 2"/>
    <w:basedOn w:val="Normal"/>
    <w:next w:val="Normal"/>
    <w:qFormat/>
    <w:pPr>
      <w:spacing w:before="300" w:after="15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2026-02-25T18:59:19.018Z</dcterms:created>
  <dcterms:modified xsi:type="dcterms:W3CDTF">2026-02-25T18:59:19.019Z</dcterms:modified>
</cp:coreProperties>
</file>

<file path=docProps/custom.xml><?xml version="1.0" encoding="utf-8"?>
<Properties xmlns="http://schemas.openxmlformats.org/officeDocument/2006/custom-properties" xmlns:vt="http://schemas.openxmlformats.org/officeDocument/2006/docPropsVTypes"/>
</file>