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2-sided cheat sheets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 of entire class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 points, with 12 points of extra credit.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Composition: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Essay Questions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2543529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LDA - fisher faces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PCA - eigen faces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Viola Jones - Haar-like filters, cascade classifier, adaboost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Face Bunch Graph - uses EBGM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 PCA the largest ev points in which direction : maximum variance of points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Iris recognition is typically perform in the : NIR spectrum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Iris “Normalization” maps the image from the Cartiesian coordinate system to the: pseudo-polar coordinate system.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For iris recognition, which component of the gabor-filter response is used: Phase Only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Both real and imaginary components of the quantized gabor filter responded are used for iris matching: TRUE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Distance used for comparing Iris Codes: Normalized Hamming Distance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(normalized euclidean distance also acceptable)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33763" cy="6625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66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Integro-Differential Operator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Fingerprints are also known as: Friction Ridges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Examples of singular points: Core and delta (level one features)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Ridge frequency map is an example of : Level 1 Feature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Identical twins can be differentiated using their finger prints: TRUE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Higher and symmetric volar pads generate: Whorls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Electricity resulting from the application of mechanical stress is known as:piezoelectric effect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Fourier Transform of a local fingerprint region is typically used to estimate: frequency and orientation.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Scars, freckles, and moles are examples of : Level 3 Details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PCA uses labeled training data: FALSE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unsupervised. It uses the direction of variance.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LDA uses labeled training data.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Given a set of high dimension points, PCA can be used for: dimensionality reduction and finding direction of maximum variance.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Local Binary Pattern(LBP) is an example of  Texture-based face Recognition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(scale and feature based transform also texture-based)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two matrices computed by LDA are: within-class and between-class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*** Be able to find the value of P and R for LBP operator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P: points, and R: radius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Disorder in which a person loses their ability to recognize face: prosopagnosia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