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sz w:val="32"/>
          <w:szCs w:val="32"/>
        </w:rPr>
        <w:t xml:space="preserve">Winter pressure: where it bites next, and what to pre-position</w:t>
      </w:r>
    </w:p>
    <w:p>
      <w:pPr>
        <w:spacing w:after="80"/>
      </w:pPr>
      <w:r>
        <w:rPr>
          <w:b/>
          <w:bCs/>
          <w:sz w:val="19"/>
          <w:szCs w:val="19"/>
        </w:rPr>
        <w:t xml:space="preserve">To:</w:t>
      </w:r>
      <w:r>
        <w:rPr>
          <w:sz w:val="19"/>
          <w:szCs w:val="19"/>
        </w:rPr>
        <w:t xml:space="preserve"> ICB Board · </w:t>
      </w:r>
      <w:r>
        <w:rPr>
          <w:b/>
          <w:bCs/>
          <w:sz w:val="19"/>
          <w:szCs w:val="19"/>
        </w:rPr>
        <w:t xml:space="preserve">From:</w:t>
      </w:r>
      <w:r>
        <w:rPr>
          <w:sz w:val="19"/>
          <w:szCs w:val="19"/>
        </w:rPr>
        <w:t xml:space="preserve"> Intelligence/BI · </w:t>
      </w:r>
      <w:r>
        <w:rPr>
          <w:b/>
          <w:bCs/>
          <w:sz w:val="19"/>
          <w:szCs w:val="19"/>
        </w:rPr>
        <w:t xml:space="preserve">Date:</w:t>
      </w:r>
      <w:r>
        <w:rPr>
          <w:sz w:val="19"/>
          <w:szCs w:val="19"/>
        </w:rPr>
        <w:t xml:space="preserve"> 12 July 2026 · one page · built from published NHS England monthly statistics (aggregate data only; sources pinned in the project manifest)</w:t>
      </w:r>
    </w:p>
    <w:p>
      <w:pPr>
        <w:pStyle w:val="Heading1"/>
        <w:spacing w:after="60" w:before="160"/>
      </w:pPr>
      <w:r>
        <w:t xml:space="preserve">The picture</w:t>
      </w:r>
    </w:p>
    <w:p>
      <w:pPr>
        <w:spacing w:after="80"/>
      </w:pPr>
      <w:r>
        <w:rPr>
          <w:sz w:val="19"/>
          <w:szCs w:val="19"/>
        </w:rPr>
        <w:t xml:space="preserve">England Type-1 four-hour performance stood at </w:t>
      </w:r>
      <w:r>
        <w:rPr>
          <w:b/>
          <w:bCs/>
          <w:sz w:val="19"/>
          <w:szCs w:val="19"/>
        </w:rPr>
        <w:t xml:space="preserve">61.0%</w:t>
      </w:r>
      <w:r>
        <w:rPr>
          <w:sz w:val="19"/>
          <w:szCs w:val="19"/>
        </w:rPr>
        <w:t xml:space="preserve"> in June 2026, against the 78% interim ambition and the 95% constitutional standard. Across the last five winters, trusts lost on average </w:t>
      </w:r>
      <w:r>
        <w:rPr>
          <w:b/>
          <w:bCs/>
          <w:sz w:val="19"/>
          <w:szCs w:val="19"/>
        </w:rPr>
        <w:t xml:space="preserve">4.7 percentage points</w:t>
      </w:r>
      <w:r>
        <w:rPr>
          <w:sz w:val="19"/>
          <w:szCs w:val="19"/>
        </w:rPr>
        <w:t xml:space="preserve"> of Type-1 performance in December-February versus the preceding summer — winter deterioration is structural, not incidental.</w:t>
      </w:r>
    </w:p>
    <w:p>
      <w:pPr>
        <w:pStyle w:val="Heading1"/>
        <w:spacing w:after="60" w:before="160"/>
      </w:pPr>
      <w:r>
        <w:t xml:space="preserve">Three trusts at highest breach risk by August 2026 (8-week model horizon)</w:t>
      </w:r>
    </w:p>
    <w:p>
      <w:pPr>
        <w:spacing w:after="80"/>
      </w:pPr>
      <w:r>
        <w:rPr>
          <w:sz w:val="19"/>
          <w:szCs w:val="19"/>
        </w:rPr>
        <w:t xml:space="preserve">All figures are Type-1 4-hour </w:t>
      </w:r>
      <w:r>
        <w:rPr>
          <w:b/>
          <w:bCs/>
          <w:sz w:val="19"/>
          <w:szCs w:val="19"/>
        </w:rPr>
        <w:t xml:space="preserve">performance</w:t>
      </w:r>
      <w:r>
        <w:rPr>
          <w:sz w:val="19"/>
          <w:szCs w:val="19"/>
        </w:rPr>
        <w:t xml:space="preserve"> (higher is better).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600"/>
        <w:gridCol w:w="1050"/>
        <w:gridCol w:w="1560"/>
        <w:gridCol w:w="950"/>
        <w:gridCol w:w="860"/>
      </w:tblGrid>
      <w:tr>
        <w:tc>
          <w:tcPr>
            <w:tcW w:type="dxa" w:w="2340"/>
            <w:shd w:fill="1F6FB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Trust</w:t>
            </w:r>
          </w:p>
        </w:tc>
        <w:tc>
          <w:tcPr>
            <w:tcW w:type="dxa" w:w="2600"/>
            <w:shd w:fill="1F6FB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ICB</w:t>
            </w:r>
          </w:p>
        </w:tc>
        <w:tc>
          <w:tcPr>
            <w:tcW w:type="dxa" w:w="1050"/>
            <w:shd w:fill="1F6FB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Performance now</w:t>
            </w:r>
          </w:p>
        </w:tc>
        <w:tc>
          <w:tcPr>
            <w:tcW w:type="dxa" w:w="1560"/>
            <w:shd w:fill="1F6FB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Forecast (80% band)</w:t>
            </w:r>
          </w:p>
        </w:tc>
        <w:tc>
          <w:tcPr>
            <w:tcW w:type="dxa" w:w="950"/>
            <w:shd w:fill="1F6FB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3-mo momentum</w:t>
            </w:r>
          </w:p>
        </w:tc>
        <w:tc>
          <w:tcPr>
            <w:tcW w:type="dxa" w:w="860"/>
            <w:shd w:fill="1F6FB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Avg winter penalty</w:t>
            </w:r>
          </w:p>
        </w:tc>
      </w:tr>
      <w:tr>
        <w:tc>
          <w:tcPr>
            <w:tcW w:type="dxa" w:w="23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University Hospitals Plymouth NHS Trust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NHS Devon Integrated Care Board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35%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36%</w:t>
            </w:r>
            <w:r>
              <w:rPr>
                <w:b w:val="false"/>
                <w:bCs w:val="false"/>
                <w:sz w:val="15"/>
                <w:szCs w:val="15"/>
              </w:rPr>
              <w:t xml:space="preserve"> (32%–44%)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-2.4 pp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-2.8 pp</w:t>
            </w:r>
          </w:p>
        </w:tc>
      </w:tr>
      <w:tr>
        <w:tc>
          <w:tcPr>
            <w:tcW w:type="dxa" w:w="23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Royal Cornwall Hospitals NHS Trust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NHS Cornwall and the Isles of Scilly Integrated Care Board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41%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40%</w:t>
            </w:r>
            <w:r>
              <w:rPr>
                <w:b w:val="false"/>
                <w:bCs w:val="false"/>
                <w:sz w:val="15"/>
                <w:szCs w:val="15"/>
              </w:rPr>
              <w:t xml:space="preserve"> (35%–46%)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-4.7 pp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-3.0 pp</w:t>
            </w:r>
          </w:p>
        </w:tc>
      </w:tr>
      <w:tr>
        <w:tc>
          <w:tcPr>
            <w:tcW w:type="dxa" w:w="23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The Shrewsbury and Telford Hospital NHS Trust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NHS Shropshire, Telford and Wrekin Integrated Care Board</w:t>
            </w:r>
          </w:p>
        </w:tc>
        <w:tc>
          <w:tcPr>
            <w:tcW w:type="dxa" w:w="10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44%</w:t>
            </w:r>
          </w:p>
        </w:tc>
        <w:tc>
          <w:tcPr>
            <w:tcW w:type="dxa" w:w="1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42%</w:t>
            </w:r>
            <w:r>
              <w:rPr>
                <w:b w:val="false"/>
                <w:bCs w:val="false"/>
                <w:sz w:val="15"/>
                <w:szCs w:val="15"/>
              </w:rPr>
              <w:t xml:space="preserve"> (37%–47%)</w:t>
            </w:r>
          </w:p>
        </w:tc>
        <w:tc>
          <w:tcPr>
            <w:tcW w:type="dxa" w:w="95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-2.0 pp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-3.9 pp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i/>
          <w:iCs/>
          <w:sz w:val="19"/>
          <w:szCs w:val="19"/>
        </w:rPr>
        <w:t xml:space="preserve">Forecast error at this horizon, measured on two held-out winters: MAE 4.1pp (2024-25), 4.1pp (2025-26). Trusts are compared against volume-adjusted funnel limits, not raw rankings; each of the three sits outside the 95% funnel limit on breach rate.</w:t>
      </w:r>
    </w:p>
    <w:p>
      <w:pPr>
        <w:pStyle w:val="Heading1"/>
        <w:spacing w:after="60" w:before="160"/>
      </w:pPr>
      <w:r>
        <w:t xml:space="preserve">What is driving 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Watch flow, not the front door:</w:t>
      </w:r>
      <w:r>
        <w:rPr>
          <w:sz w:val="19"/>
          <w:szCs w:val="19"/>
        </w:rPr>
        <w:t xml:space="preserve"> where 12-hour decision-to-admit waits rise disproportionately to attendances, the binding constraint is exit-block, not demand — the monthly DTA counts for the three trusts above are the leading indicator to track between publications.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Workforce (a finding worth stating honestly):</w:t>
      </w:r>
      <w:r>
        <w:rPr>
          <w:sz w:val="19"/>
          <w:szCs w:val="19"/>
        </w:rPr>
        <w:t xml:space="preserve"> at the regional grain the published vacancy statistics allow, nursing vacancy pressure shows no positive association with breach deviation once region and month effects are removed (r = -0.17 same-month, r = -0.12 at a 3-month lead). Workforce effects, if present, operate below regional grain — trust-level vacancy data would be needed to see them, and this memo does not claim what the data cannot show.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Deprivation:</w:t>
      </w:r>
      <w:r>
        <w:rPr>
          <w:sz w:val="19"/>
          <w:szCs w:val="19"/>
        </w:rPr>
        <w:t xml:space="preserve"> the equity view shows more-deprived catchments carrying lower four-hour performance (Core20-proxy quintile), so pressure lands unequally across the ICB's population.</w:t>
      </w:r>
    </w:p>
    <w:p>
      <w:pPr>
        <w:pStyle w:val="Heading1"/>
        <w:spacing w:after="60" w:before="160"/>
      </w:pPr>
      <w:r>
        <w:t xml:space="preserve">Two pre-positioning recommendations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19"/>
          <w:szCs w:val="19"/>
        </w:rPr>
        <w:t xml:space="preserve">Pre-book discharge capacity where the model says the risk is, before December:</w:t>
      </w:r>
      <w:r>
        <w:rPr>
          <w:sz w:val="19"/>
          <w:szCs w:val="19"/>
        </w:rPr>
        <w:t xml:space="preserve"> commission step-down/domiciliary packages against the named trusts' forecast peak (validated 8-week horizon), rather than spreading contingency evenly — the forecast bands above quantify how much earlier these three move.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  <w:sz w:val="19"/>
          <w:szCs w:val="19"/>
        </w:rPr>
        <w:t xml:space="preserve">Commit bank/locum cover to admitted-pathway roles at the named sites before the seasonal peak:</w:t>
      </w:r>
      <w:r>
        <w:rPr>
          <w:sz w:val="19"/>
          <w:szCs w:val="19"/>
        </w:rPr>
        <w:t xml:space="preserve"> their 12-hour decision-to-admit trajectories show exit-block converting to corridor waits earlier than elsewhere; cover agreed in October is materially cheaper than January escalation rates, and the forecast bands quantify how much earlier these three sites move.</w:t>
      </w:r>
    </w:p>
    <w:p>
      <w:pPr>
        <w:pBdr>
          <w:bottom w:val="single" w:color="999999" w:sz="4"/>
        </w:pBdr>
        <w:spacing w:after="80"/>
      </w:pPr>
    </w:p>
    <w:p>
      <w:pPr>
        <w:spacing w:after="80"/>
      </w:pPr>
      <w:r>
        <w:rPr>
          <w:i/>
          <w:iCs/>
          <w:sz w:val="19"/>
          <w:szCs w:val="19"/>
        </w:rPr>
        <w:t xml:space="preserve">Method: cluster-pooled seasonal model per trust, backtested on winters 2024-25 and 2025-26 with errors published (reports/forecast-evaluation.md). Aggregate published data only — no patient-level access. ICB footprints are post-April-2026; the November-2025 ECDS methodology change is flagged in all series it affects.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2026-07-12T12:16:29.272Z</dcterms:created>
  <dcterms:modified xsi:type="dcterms:W3CDTF">2026-07-12T12:16:29.273Z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