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E833BD9" wp14:paraId="23F92894" wp14:textId="1DA8D70C">
      <w:pPr>
        <w:spacing w:line="480" w:lineRule="auto"/>
        <w:rPr>
          <w:rFonts w:ascii="Times New Roman" w:hAnsi="Times New Roman" w:eastAsia="Times New Roman" w:cs="Times New Roman"/>
          <w:sz w:val="24"/>
          <w:szCs w:val="24"/>
        </w:rPr>
      </w:pPr>
    </w:p>
    <w:p xmlns:wp14="http://schemas.microsoft.com/office/word/2010/wordml" w:rsidP="1E833BD9" wp14:paraId="212CFAA9" wp14:textId="61427B7A">
      <w:pPr>
        <w:spacing w:line="480" w:lineRule="auto"/>
        <w:rPr>
          <w:rFonts w:ascii="Times New Roman" w:hAnsi="Times New Roman" w:eastAsia="Times New Roman" w:cs="Times New Roman"/>
          <w:sz w:val="24"/>
          <w:szCs w:val="24"/>
        </w:rPr>
      </w:pPr>
    </w:p>
    <w:p xmlns:wp14="http://schemas.microsoft.com/office/word/2010/wordml" w:rsidP="1E833BD9" wp14:paraId="7838D530" wp14:textId="6A72ED4D">
      <w:pPr>
        <w:spacing w:line="480" w:lineRule="auto"/>
        <w:rPr>
          <w:rFonts w:ascii="Times New Roman" w:hAnsi="Times New Roman" w:eastAsia="Times New Roman" w:cs="Times New Roman"/>
          <w:sz w:val="24"/>
          <w:szCs w:val="24"/>
        </w:rPr>
      </w:pPr>
    </w:p>
    <w:p xmlns:wp14="http://schemas.microsoft.com/office/word/2010/wordml" w:rsidP="1E833BD9" wp14:paraId="066A75C0" wp14:textId="1ECE21A3">
      <w:pPr>
        <w:spacing w:line="480" w:lineRule="auto"/>
        <w:rPr>
          <w:rFonts w:ascii="Times New Roman" w:hAnsi="Times New Roman" w:eastAsia="Times New Roman" w:cs="Times New Roman"/>
          <w:sz w:val="24"/>
          <w:szCs w:val="24"/>
        </w:rPr>
      </w:pPr>
    </w:p>
    <w:p xmlns:wp14="http://schemas.microsoft.com/office/word/2010/wordml" w:rsidP="1E833BD9" wp14:paraId="27D65639" wp14:textId="4CA0B97D">
      <w:pPr>
        <w:spacing w:line="480" w:lineRule="auto"/>
        <w:rPr>
          <w:rFonts w:ascii="Times New Roman" w:hAnsi="Times New Roman" w:eastAsia="Times New Roman" w:cs="Times New Roman"/>
          <w:sz w:val="24"/>
          <w:szCs w:val="24"/>
        </w:rPr>
      </w:pPr>
    </w:p>
    <w:p xmlns:wp14="http://schemas.microsoft.com/office/word/2010/wordml" w:rsidP="1E833BD9" wp14:paraId="76626544" wp14:textId="65013EC4">
      <w:pPr>
        <w:spacing w:line="480" w:lineRule="auto"/>
        <w:rPr>
          <w:rFonts w:ascii="Times New Roman" w:hAnsi="Times New Roman" w:eastAsia="Times New Roman" w:cs="Times New Roman"/>
          <w:sz w:val="24"/>
          <w:szCs w:val="24"/>
        </w:rPr>
      </w:pPr>
    </w:p>
    <w:p xmlns:wp14="http://schemas.microsoft.com/office/word/2010/wordml" w:rsidP="1E833BD9" wp14:paraId="46516288" wp14:textId="7B9CBBF7">
      <w:pPr>
        <w:spacing w:before="0" w:beforeAutospacing="off" w:after="0" w:afterAutospacing="off" w:line="480" w:lineRule="auto"/>
        <w:ind w:left="720" w:right="0"/>
        <w:jc w:val="center"/>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1E833BD9" w:rsidR="51AA57C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Assignment 04-3: Comparing Visualizations for Impact</w:t>
      </w:r>
    </w:p>
    <w:p xmlns:wp14="http://schemas.microsoft.com/office/word/2010/wordml" w:rsidP="1E833BD9" wp14:paraId="76BFD804" wp14:textId="77599CB5">
      <w:pPr>
        <w:spacing w:line="480" w:lineRule="auto"/>
        <w:rPr>
          <w:rFonts w:ascii="Times New Roman" w:hAnsi="Times New Roman" w:eastAsia="Times New Roman" w:cs="Times New Roman"/>
          <w:sz w:val="24"/>
          <w:szCs w:val="24"/>
        </w:rPr>
      </w:pPr>
    </w:p>
    <w:p xmlns:wp14="http://schemas.microsoft.com/office/word/2010/wordml" w:rsidP="1E833BD9" wp14:paraId="3C6D9B40" wp14:textId="6A3AC5D3">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E833BD9" w:rsidR="51AA57C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Sharie Rhea</w:t>
      </w:r>
    </w:p>
    <w:p xmlns:wp14="http://schemas.microsoft.com/office/word/2010/wordml" w:rsidP="1E833BD9" wp14:paraId="7B2385D6" wp14:textId="671C0F33">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E833BD9" w:rsidR="51AA57C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Southern New Hampshire University</w:t>
      </w:r>
    </w:p>
    <w:p xmlns:wp14="http://schemas.microsoft.com/office/word/2010/wordml" w:rsidP="1E833BD9" wp14:paraId="177F1B8B" wp14:textId="1DE59F96">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E833BD9" w:rsidR="51AA57C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CS 540: Data Literacy and Visualization</w:t>
      </w:r>
    </w:p>
    <w:p xmlns:wp14="http://schemas.microsoft.com/office/word/2010/wordml" w:rsidP="1E833BD9" wp14:paraId="5B2D582C" wp14:textId="535D7270">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E833BD9" w:rsidR="51AA57C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Mahmoud Al-Khassaweneh</w:t>
      </w:r>
    </w:p>
    <w:p xmlns:wp14="http://schemas.microsoft.com/office/word/2010/wordml" w:rsidP="1E833BD9" wp14:paraId="02DDBE06" wp14:textId="3DFA945D">
      <w:pPr>
        <w:spacing w:before="0" w:beforeAutospacing="off" w:after="0" w:afterAutospacing="off" w:line="480" w:lineRule="auto"/>
        <w:ind w:left="720" w:right="0"/>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E833BD9" w:rsidR="51AA57C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May 17, 2026</w:t>
      </w:r>
    </w:p>
    <w:p xmlns:wp14="http://schemas.microsoft.com/office/word/2010/wordml" w:rsidP="1E833BD9" wp14:paraId="0C954E00" wp14:textId="34870F1C">
      <w:pPr>
        <w:spacing w:line="480" w:lineRule="auto"/>
        <w:rPr>
          <w:rFonts w:ascii="Times New Roman" w:hAnsi="Times New Roman" w:eastAsia="Times New Roman" w:cs="Times New Roman"/>
          <w:sz w:val="24"/>
          <w:szCs w:val="24"/>
        </w:rPr>
      </w:pPr>
      <w:r w:rsidRPr="1E833BD9">
        <w:rPr>
          <w:rFonts w:ascii="Times New Roman" w:hAnsi="Times New Roman" w:eastAsia="Times New Roman" w:cs="Times New Roman"/>
          <w:sz w:val="24"/>
          <w:szCs w:val="24"/>
        </w:rPr>
        <w:br w:type="page"/>
      </w:r>
    </w:p>
    <w:p xmlns:wp14="http://schemas.microsoft.com/office/word/2010/wordml" w:rsidP="1E833BD9" wp14:paraId="60793EB0" wp14:textId="470A439C">
      <w:pPr>
        <w:spacing w:before="280" w:beforeAutospacing="off" w:after="280" w:afterAutospacing="off" w:line="48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E833BD9" w:rsidR="51AA57C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The data for this report on regional education funding was sourced from the National Center for Education Statistics, specifically Table 333.30, covering state and local appropriations for public postsecondary institutions from 1990 to 2021. While the original dataset spans all 50 states in both current and constant dollars, the visualizations analyzed here utilize a modified subset from JupyterNotebooks. This sample focuses on appropriations per full-time-equivalent (FTE) student across ten specific states: California, New York, Texas, Florida, Illinois, Pennsylvania, Ohio, Michigan, Georgia, and North Carolina.</w:t>
      </w:r>
    </w:p>
    <w:p xmlns:wp14="http://schemas.microsoft.com/office/word/2010/wordml" w:rsidP="1E833BD9" wp14:paraId="7FC2D914" wp14:textId="28486A1E">
      <w:pPr>
        <w:spacing w:before="280" w:beforeAutospacing="off" w:after="280" w:afterAutospacing="off" w:line="48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E833BD9" w:rsidR="51AA57C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The first of these, the Technical Visualization, utilizes a multi-line chart titled “30-Year Trend of State Appropriations for Higher Education By Selected States” (Ribecca, 2019). In this layout, the y-axis tracks “Appropriations per FTE Student ($)” ranging from $6.5k to $10k, while the x-axis marks the “Academic Year” beginning in 1990-91 and ending in 2020-21. By plotting data for five distinct states—distinguished by a color-coded legend and supported by light grid lines—this chart effectively illustrates how funding has shifted over three decades. The narrative revealed here is one of a slight long-term increase, interrupted by a significant dip during the 2010-11 academic year. It also highlights state-specific stories: California’s recovery from that dip was particularly drastic, and among the group, New York consistently allocates the most funds while Florida allocates the least.</w:t>
      </w:r>
    </w:p>
    <w:p xmlns:wp14="http://schemas.microsoft.com/office/word/2010/wordml" w:rsidP="1E833BD9" wp14:paraId="0CE46413" wp14:textId="344EBAE3">
      <w:pPr>
        <w:spacing w:before="280" w:beforeAutospacing="off" w:after="280" w:afterAutospacing="off" w:line="48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E833BD9" w:rsidR="51AA57C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In contrast to the multi-line trend, the Simple Visualization offers a snapshot through a vertical bar chart titled “State Higher Education Funding 2020-21” (Ribecca, 2019). Here, the x-axis lists ten states as categorical variables, while the y-axis measures appropriations from $0 to $10k. A key feature of this layout is the inclusion of a horizontal line representing the “National Average ($8,750),” which allows for immediate benchmarking. This design makes it easy to identify Ohio as the lowest funder and New York as the highest for that specific year. Because the bars are set against a clear average, the viewer can quickly see that the chosen states are split evenly—half falling above the national average and half falling below.</w:t>
      </w:r>
    </w:p>
    <w:p xmlns:wp14="http://schemas.microsoft.com/office/word/2010/wordml" w:rsidP="1E833BD9" wp14:paraId="3FDD90C3" wp14:textId="6D16AD1F">
      <w:pPr>
        <w:spacing w:before="280" w:beforeAutospacing="off" w:after="280" w:afterAutospacing="off" w:line="48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E833BD9" w:rsidR="51AA57C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Bridging these two approaches is the Story Visualization, which combines a horizontal bar chart with a vertical box-and-whisker plot to provide a broader context (Ribecca, 2019). The bar chart, “Percent Change in State Appropriations (1990-91 to 2020-21),” uses an x-axis for percent change (0–20) and a categorical y-axis for the states. Because the bars are sorted by value, it is immediately apparent that while every state saw an increase over 30 years, Georgia enjoyed the greatest growth and Michigan the least. Accompanying this is a box-and-whisker chart titled “Distribution of State Appropriations Over Time,” which shifts the focus to the spread of the data. By plotting the median, quartiles, and "whiskers" across six academic years, this chart reveals that 1990-91 had the greatest variation in funding across states, while 2010-11 saw the most consistency (the smallest variation) despite the overall dip in funds.</w:t>
      </w:r>
    </w:p>
    <w:p xmlns:wp14="http://schemas.microsoft.com/office/word/2010/wordml" w:rsidP="1E833BD9" wp14:paraId="408F4F17" wp14:textId="032F372E">
      <w:pPr>
        <w:spacing w:before="280" w:beforeAutospacing="off" w:after="280" w:afterAutospacing="off" w:line="48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E833BD9" w:rsidR="51AA57C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While each visualization offers unique insights, they differ significantly in their clarity and alignment with the data type. The Simple Visualization is undeniably the most intuitive, yet it lacks the crucial element of time-series progression found in the dataset. Conversely, the Technical Visualization excels at showing those 30-year trends, though it limits its scope to only five states. The Story Visualization attempts a comprehensive look by combining growth percentages with distribution data; however, the box-and-whisker element is likely too obscure for a general audience (Yi &amp; Restori, 2024). Ultimately, the Technical Visualization aligns best with the data type because it prioritizes the change in appropriations over time, which is the most meaningful story within this specific dataset (Yi &amp; Restori, 2024).</w:t>
      </w:r>
    </w:p>
    <w:p xmlns:wp14="http://schemas.microsoft.com/office/word/2010/wordml" w:rsidP="1E833BD9" wp14:paraId="756A21C7" wp14:textId="3BFA67C6">
      <w:pPr>
        <w:spacing w:before="280" w:beforeAutospacing="off" w:after="280" w:afterAutospacing="off" w:line="48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E833BD9" w:rsidR="51AA57C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Given the target audience of policymakers and education advocates, the Technical Visualization stands out as the superior choice. Despite its "technical" label, a multi-line chart is a familiar tool that non-experts can easily navigate to understand state-by-state comparisons and historical trends (Yi &amp; Restori, 2024). While the Simple Visualization is clear, it is perhaps too simple, leaving out the time context necessary for informed policy decisions. Similarly, the Story Visualization fails the clarity test for this specific group, as the box-and-whisker plot requires a level of data literacy that may distract from the report's core message (Yi &amp; Restori, 2024).</w:t>
      </w:r>
    </w:p>
    <w:p xmlns:wp14="http://schemas.microsoft.com/office/word/2010/wordml" w:rsidP="1E833BD9" wp14:paraId="3E39161A" wp14:textId="00446DC1">
      <w:pPr>
        <w:spacing w:before="280" w:beforeAutospacing="off" w:after="280" w:afterAutospacing="off" w:line="48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E833BD9" w:rsidR="51AA57C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To maximize the impact of these graphics, several refinements should be considered. For the Technical Visualization, adding distinct data point shapes to the lines would ensure accessibility for color-blind viewers, while direct labeling of the lines would eliminate the need for a distracting legend that requires back-and-forth eye movement. Additionally, adding a "National Average" line and adjusting the x-axis to be mathematically proportional—rather than spacing a one-year gap the same as a ten-year gap—would improve accuracy and context (Dougherty &amp; Ilyankou, n.d.). The Simple Visualization would benefit from sorting the bars by value to make rankings more apparent at a glance. Finally, the Story Visualization requires more descriptive titles and axis labels to ensure it can be understood out of context. By implementing these changes, we can ensure the data is visualized truthfully.</w:t>
      </w:r>
    </w:p>
    <w:p xmlns:wp14="http://schemas.microsoft.com/office/word/2010/wordml" wp14:paraId="2AF9B80A" wp14:textId="79FCD360">
      <w:r>
        <w:br w:type="page"/>
      </w:r>
    </w:p>
    <w:p xmlns:wp14="http://schemas.microsoft.com/office/word/2010/wordml" w:rsidP="1E833BD9" wp14:paraId="1750F682" wp14:textId="74E7D205">
      <w:pPr>
        <w:spacing w:before="0" w:beforeAutospacing="off" w:after="0" w:afterAutospacing="off" w:line="480" w:lineRule="auto"/>
        <w:ind w:left="720" w:hanging="720"/>
        <w:jc w:val="center"/>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1E833BD9" w:rsidR="51AA57C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References</w:t>
      </w:r>
    </w:p>
    <w:p xmlns:wp14="http://schemas.microsoft.com/office/word/2010/wordml" w:rsidP="1E833BD9" wp14:paraId="68DACE45" wp14:textId="3D4EA309">
      <w:pPr>
        <w:spacing w:before="0" w:beforeAutospacing="off" w:after="0" w:afterAutospacing="off" w:line="480" w:lineRule="auto"/>
        <w:ind w:left="720" w:hanging="720"/>
        <w:rPr>
          <w:rFonts w:ascii="Times New Roman" w:hAnsi="Times New Roman" w:eastAsia="Times New Roman" w:cs="Times New Roman"/>
          <w:sz w:val="24"/>
          <w:szCs w:val="24"/>
        </w:rPr>
      </w:pPr>
      <w:r w:rsidRPr="1E833BD9" w:rsidR="51AA57C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Dougherty, J., &amp; Ilyankou, I. (n.d.). </w:t>
      </w:r>
      <w:r w:rsidRPr="1E833BD9" w:rsidR="51AA57C5">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How to Lie with Charts | Hands-On Data Visualization</w:t>
      </w:r>
      <w:r w:rsidRPr="1E833BD9" w:rsidR="51AA57C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In handsondataviz.org. </w:t>
      </w:r>
      <w:hyperlink r:id="Raa46fc069fa8485f">
        <w:r w:rsidRPr="1E833BD9" w:rsidR="51AA57C5">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https://handsondataviz.org/how-to-lie-with-charts.html</w:t>
        </w:r>
      </w:hyperlink>
    </w:p>
    <w:p xmlns:wp14="http://schemas.microsoft.com/office/word/2010/wordml" w:rsidP="1E833BD9" wp14:paraId="66FFFA51" wp14:textId="0F77D223">
      <w:pPr>
        <w:spacing w:before="0" w:beforeAutospacing="off" w:after="0" w:afterAutospacing="off" w:line="480" w:lineRule="auto"/>
        <w:ind w:left="720" w:hanging="720"/>
        <w:rPr>
          <w:rFonts w:ascii="Times New Roman" w:hAnsi="Times New Roman" w:eastAsia="Times New Roman" w:cs="Times New Roman"/>
          <w:sz w:val="24"/>
          <w:szCs w:val="24"/>
        </w:rPr>
      </w:pPr>
      <w:r w:rsidRPr="1E833BD9" w:rsidR="51AA57C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Ribecca, S. (2019).</w:t>
      </w:r>
      <w:r w:rsidRPr="1E833BD9" w:rsidR="51AA57C5">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 xml:space="preserve"> The Data Visualisation Catalogue</w:t>
      </w:r>
      <w:r w:rsidRPr="1E833BD9" w:rsidR="51AA57C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Datavizcatalogue.com. </w:t>
      </w:r>
      <w:hyperlink r:id="Ra3b08541e21f471e">
        <w:r w:rsidRPr="1E833BD9" w:rsidR="51AA57C5">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https://datavizcatalogue.com/</w:t>
        </w:r>
      </w:hyperlink>
    </w:p>
    <w:p xmlns:wp14="http://schemas.microsoft.com/office/word/2010/wordml" w:rsidP="1E833BD9" wp14:paraId="7760E170" wp14:textId="3AE63653">
      <w:pPr>
        <w:spacing w:before="0" w:beforeAutospacing="off" w:after="0" w:afterAutospacing="off" w:line="480" w:lineRule="auto"/>
        <w:ind w:left="720" w:hanging="720"/>
        <w:rPr>
          <w:rFonts w:ascii="Times New Roman" w:hAnsi="Times New Roman" w:eastAsia="Times New Roman" w:cs="Times New Roman"/>
          <w:sz w:val="24"/>
          <w:szCs w:val="24"/>
        </w:rPr>
      </w:pPr>
      <w:r w:rsidRPr="1E833BD9" w:rsidR="51AA57C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Yi, M., &amp; Restori, M. (2024). </w:t>
      </w:r>
      <w:r w:rsidRPr="1E833BD9" w:rsidR="51AA57C5">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How to Choose the Right Data Visualization</w:t>
      </w:r>
      <w:r w:rsidRPr="1E833BD9" w:rsidR="51AA57C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Atlassian. </w:t>
      </w:r>
      <w:hyperlink r:id="Rb47f554a47744133">
        <w:r w:rsidRPr="1E833BD9" w:rsidR="51AA57C5">
          <w:rPr>
            <w:rStyle w:val="Hyperlink"/>
            <w:rFonts w:ascii="Times New Roman" w:hAnsi="Times New Roman" w:eastAsia="Times New Roman" w:cs="Times New Roman"/>
            <w:b w:val="0"/>
            <w:bCs w:val="0"/>
            <w:i w:val="0"/>
            <w:iCs w:val="0"/>
            <w:strike w:val="0"/>
            <w:dstrike w:val="0"/>
            <w:noProof w:val="0"/>
            <w:color w:val="1155CC"/>
            <w:sz w:val="24"/>
            <w:szCs w:val="24"/>
            <w:u w:val="none"/>
            <w:lang w:val="en-US"/>
          </w:rPr>
          <w:t>https://www.atlassian.com/data/charts/how-to-choose-data-visualization</w:t>
        </w:r>
      </w:hyperlink>
    </w:p>
    <w:p xmlns:wp14="http://schemas.microsoft.com/office/word/2010/wordml" w:rsidP="1E833BD9" wp14:paraId="2C078E63" wp14:textId="34000202">
      <w:pPr>
        <w:pStyle w:val="Normal"/>
        <w:spacing w:line="480" w:lineRule="auto"/>
        <w:rPr>
          <w:rFonts w:ascii="Times New Roman" w:hAnsi="Times New Roman" w:eastAsia="Times New Roman" w:cs="Times New Roman"/>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4217135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DA288B0"/>
    <w:rsid w:val="0EA3621E"/>
    <w:rsid w:val="1DF8AB7B"/>
    <w:rsid w:val="1E833BD9"/>
    <w:rsid w:val="2DA288B0"/>
    <w:rsid w:val="4BD6561E"/>
    <w:rsid w:val="51AA57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51C21"/>
  <w15:chartTrackingRefBased/>
  <w15:docId w15:val="{27BBF0EB-389E-4A48-9404-8212348A79E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1E833BD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1E833BD9"/>
    <w:pPr>
      <w:spacing/>
      <w:ind w:left="720"/>
      <w:contextualSpacing/>
    </w:pPr>
  </w:style>
  <w:style w:type="character" w:styleId="Hyperlink">
    <w:uiPriority w:val="99"/>
    <w:name w:val="Hyperlink"/>
    <w:basedOn w:val="DefaultParagraphFont"/>
    <w:unhideWhenUsed/>
    <w:rsid w:val="1E833BD9"/>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handsondataviz.org/how-to-lie-with-charts.html" TargetMode="External" Id="Raa46fc069fa8485f" /><Relationship Type="http://schemas.openxmlformats.org/officeDocument/2006/relationships/hyperlink" Target="https://datavizcatalogue.com/" TargetMode="External" Id="Ra3b08541e21f471e" /><Relationship Type="http://schemas.openxmlformats.org/officeDocument/2006/relationships/hyperlink" Target="https://www.atlassian.com/data/charts/how-to-choose-data-visualization" TargetMode="External" Id="Rb47f554a47744133" /><Relationship Type="http://schemas.openxmlformats.org/officeDocument/2006/relationships/numbering" Target="numbering.xml" Id="Raceb879337e0498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2026-05-14T23:22:07.9510559Z</dcterms:created>
  <dcterms:modified xsi:type="dcterms:W3CDTF">2026-05-14T23:24:16.9951557Z</dcterms:modified>
  <dc:creator>Rhea, Sharie</dc:creator>
  <lastModifiedBy>Rhea, Sharie</lastModifiedBy>
</coreProperties>
</file>