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D41972" wp14:paraId="7BDC588D" wp14:textId="6FC818BD">
      <w:pPr>
        <w:spacing w:line="480" w:lineRule="auto"/>
        <w:rPr>
          <w:rFonts w:ascii="Times New Roman" w:hAnsi="Times New Roman" w:eastAsia="Times New Roman" w:cs="Times New Roman"/>
          <w:sz w:val="24"/>
          <w:szCs w:val="24"/>
        </w:rPr>
      </w:pPr>
    </w:p>
    <w:p xmlns:wp14="http://schemas.microsoft.com/office/word/2010/wordml" w:rsidP="4DD41972" wp14:paraId="7BD4A4DD" wp14:textId="5434EC9E">
      <w:pPr>
        <w:spacing w:line="480" w:lineRule="auto"/>
        <w:rPr>
          <w:rFonts w:ascii="Times New Roman" w:hAnsi="Times New Roman" w:eastAsia="Times New Roman" w:cs="Times New Roman"/>
          <w:sz w:val="24"/>
          <w:szCs w:val="24"/>
        </w:rPr>
      </w:pPr>
    </w:p>
    <w:p xmlns:wp14="http://schemas.microsoft.com/office/word/2010/wordml" w:rsidP="4DD41972" wp14:paraId="66D056A4" wp14:textId="0509054D">
      <w:pPr>
        <w:spacing w:line="480" w:lineRule="auto"/>
        <w:rPr>
          <w:rFonts w:ascii="Times New Roman" w:hAnsi="Times New Roman" w:eastAsia="Times New Roman" w:cs="Times New Roman"/>
          <w:sz w:val="24"/>
          <w:szCs w:val="24"/>
        </w:rPr>
      </w:pPr>
    </w:p>
    <w:p xmlns:wp14="http://schemas.microsoft.com/office/word/2010/wordml" w:rsidP="4DD41972" wp14:paraId="09C307A1" wp14:textId="7F611A12">
      <w:pPr>
        <w:spacing w:line="480" w:lineRule="auto"/>
        <w:rPr>
          <w:rFonts w:ascii="Times New Roman" w:hAnsi="Times New Roman" w:eastAsia="Times New Roman" w:cs="Times New Roman"/>
          <w:sz w:val="24"/>
          <w:szCs w:val="24"/>
        </w:rPr>
      </w:pPr>
    </w:p>
    <w:p xmlns:wp14="http://schemas.microsoft.com/office/word/2010/wordml" w:rsidP="4DD41972" wp14:paraId="2DF8731F" wp14:textId="305A9ED1">
      <w:pPr>
        <w:spacing w:line="480" w:lineRule="auto"/>
        <w:rPr>
          <w:rFonts w:ascii="Times New Roman" w:hAnsi="Times New Roman" w:eastAsia="Times New Roman" w:cs="Times New Roman"/>
          <w:sz w:val="24"/>
          <w:szCs w:val="24"/>
        </w:rPr>
      </w:pPr>
    </w:p>
    <w:p xmlns:wp14="http://schemas.microsoft.com/office/word/2010/wordml" w:rsidP="4DD41972" wp14:paraId="1AFDD087" wp14:textId="788CDDD6">
      <w:pPr>
        <w:spacing w:line="480" w:lineRule="auto"/>
        <w:rPr>
          <w:rFonts w:ascii="Times New Roman" w:hAnsi="Times New Roman" w:eastAsia="Times New Roman" w:cs="Times New Roman"/>
          <w:sz w:val="24"/>
          <w:szCs w:val="24"/>
        </w:rPr>
      </w:pPr>
    </w:p>
    <w:p xmlns:wp14="http://schemas.microsoft.com/office/word/2010/wordml" w:rsidP="4DD41972" wp14:paraId="3E3AE92D" wp14:textId="31F56D07">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03-1: From Raw to Ready: Preprocessing and Blending Data</w:t>
      </w:r>
    </w:p>
    <w:p xmlns:wp14="http://schemas.microsoft.com/office/word/2010/wordml" w:rsidP="4DD41972" wp14:paraId="68D7EA31" wp14:textId="356B0C40">
      <w:pPr>
        <w:spacing w:line="480" w:lineRule="auto"/>
        <w:rPr>
          <w:rFonts w:ascii="Times New Roman" w:hAnsi="Times New Roman" w:eastAsia="Times New Roman" w:cs="Times New Roman"/>
          <w:sz w:val="24"/>
          <w:szCs w:val="24"/>
        </w:rPr>
      </w:pPr>
    </w:p>
    <w:p xmlns:wp14="http://schemas.microsoft.com/office/word/2010/wordml" w:rsidP="4DD41972" wp14:paraId="0E3B757F" wp14:textId="5CCEC92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DD41972" wp14:paraId="7E903B90" wp14:textId="5819D7F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DD41972" wp14:paraId="11D8D60D" wp14:textId="2D0BDEF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4DD41972" wp14:paraId="238BBA6D" wp14:textId="38042C8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4DD41972" wp14:paraId="34B354E8" wp14:textId="473E8E5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10, 2026</w:t>
      </w:r>
    </w:p>
    <w:p xmlns:wp14="http://schemas.microsoft.com/office/word/2010/wordml" w:rsidP="4DD41972" wp14:paraId="09136C51" wp14:textId="2EDB4C70">
      <w:pPr>
        <w:spacing w:line="480" w:lineRule="auto"/>
        <w:rPr>
          <w:rFonts w:ascii="Times New Roman" w:hAnsi="Times New Roman" w:eastAsia="Times New Roman" w:cs="Times New Roman"/>
          <w:sz w:val="24"/>
          <w:szCs w:val="24"/>
        </w:rPr>
      </w:pPr>
      <w:r w:rsidRPr="4DD41972">
        <w:rPr>
          <w:rFonts w:ascii="Times New Roman" w:hAnsi="Times New Roman" w:eastAsia="Times New Roman" w:cs="Times New Roman"/>
          <w:sz w:val="24"/>
          <w:szCs w:val="24"/>
        </w:rPr>
        <w:br w:type="page"/>
      </w:r>
    </w:p>
    <w:p xmlns:wp14="http://schemas.microsoft.com/office/word/2010/wordml" w:rsidP="4DD41972" wp14:paraId="34FFE256" wp14:textId="07A6089C">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 preprocessing is an essential part of data analytics, with many techniques for achieving a variety of goals. This report first describes several data preprocessing techniques, including their purpose and function. Next, it will explain the concept of blending multiple datasets and why this step is crucial for analysis and making informed decisions. Finally, these concepts will be applied to a real-world professional scenario.</w:t>
      </w:r>
    </w:p>
    <w:p xmlns:wp14="http://schemas.microsoft.com/office/word/2010/wordml" w:rsidP="4DD41972" wp14:paraId="5F590613" wp14:textId="2F3365FC">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first technique is data cleaning, which can take many different forms. The main purpose of data cleaning is to ensure that all data shares a consistent and uniform format, helping later analysis remain accurate and avoid misleading insights (Bonnefoy, 2024). One potential step in data cleaning is to handle missing or null values. Missing values may be acceptable in certain applications, but in others must be handled by replacing with a calculated or imputed value, removing rows with many missing features, or removing features with very few observations (Cremonini, 2023). Duplicate records should also be considered and removed if necessary. Another step may include renaming or reordering columns, sorting rows, and adjusting indices. This process is highly dependent on the analysis techniques that will be later performed on the dataset (Bonnefoy, 2024). Ensuring consistent data types, capitalization, and formatting is also a common part of the data cleaning process (Bonnefoy, 2024).</w:t>
      </w:r>
    </w:p>
    <w:p xmlns:wp14="http://schemas.microsoft.com/office/word/2010/wordml" w:rsidP="4DD41972" wp14:paraId="6E5D9289" wp14:textId="46B54376">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second data preprocessing technique is pivoting, which is the practice of transforming data between “long” and “wide” formats. The difference between these two formats lies in the semantic meaning of particular columns. Therefore, one dataset may actually contain both formats at the same time. The wide format–where each column represents a value of a certain feature–is best for visualization, and is generally used when humans want to view and conceptualize the data (Cremonini, 2023). On the other hand, the long format–where each column represents one or more general features of an observed system–is well suited for computation and efficient storage (Cremonini, 2023). Pivoting refers to the process of switching between these two formats. The pandas functions pd.pivot() and unstack() are used to go from long to wide, while the corresponding pd.melt() and stack() functions transform datasets from wide to long (Cremonini, 2023). Pivoting is an important technique because one form may be better than the other for performing a certain analytic operation. For example, data is often presented in a wide format, but performing grouping or aggregation analysis is much easier after the data has been restructured into the long format.</w:t>
      </w:r>
    </w:p>
    <w:p xmlns:wp14="http://schemas.microsoft.com/office/word/2010/wordml" w:rsidP="4DD41972" wp14:paraId="12DD27C7" wp14:textId="2BA712E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category of group operations will be considered as the final preprocessing technique. A common scenario in data analytics involves calculating statistics on groups of rows that share common properties (Cremonini, 2023). Grouping may be done by rows, columns, or even subsets of multi-index levels in a given dataframe. A few useful pandas functions for group operations include groupby(), aggregate(), NamedAggregate(), sort_index(), transform(), and apply() (Cremonini, 2023). Various combinations of these functions may be utilized to extract relationships between features in the data and make those relationships more visible. Common aggregation functions calculate numerical descriptive statistics–such as mean, median, and mode–but may also incorporate custom logic for even more in-depth analysis.</w:t>
      </w:r>
    </w:p>
    <w:p xmlns:wp14="http://schemas.microsoft.com/office/word/2010/wordml" w:rsidP="4DD41972" wp14:paraId="29A3A55E" wp14:textId="21775936">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Blending multiple datasets, sometimes referred to as data enriching, is the process of logically combining different datasets through shared characteristics (Cremonini, 2023). For example, suppose one dataset contains customer information such as ID, age, gender, and address, while another sales dataset contains rows of transactions with features for customer ID, product ID, price, date, and other relevant data. Since these two datasets share a common feature–customer ID–they may be blended into one dataset that may be further analyzed for patterns and relationships. One relationship that could be explored is average transaction price by customer age, which would not be possible to assess without the shared “key” of customer ID. The merge() pandas function is the most common way of achieving data blending, as it can replicate the inner, outer, left, and right join behavior found in relational database management systems (Cremonini, 2023). Some challenges may arise when joining datasets, such as mismatched keys, missing values, or invalid formats, and these issues should be addressed with other preprocessing techniques prior to blending (Bonnefoy, 2024).</w:t>
      </w:r>
    </w:p>
    <w:p xmlns:wp14="http://schemas.microsoft.com/office/word/2010/wordml" w:rsidP="4DD41972" wp14:paraId="266CF514" wp14:textId="5F1AE77A">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my current professional role as a research computer scientist, I often apply these data preprocessing and blending techniques. One recent example where I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utilized</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 cleaning was in a dataset of timing characterization experiments. I built a software application to automate timing measurements for serial peripheral interface (SPI) and Ethernet communication between a host computer and a microcontroller that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ultimately controls</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peripheral device. My application stores metadata related to each test, including the user who performed the test, the date and time, the type of peripheral device, the type of command that was run, the software version, and of course the computed timing data. After using this application to collect data for a few weeks, I began to analyze the data and found that preprocessing was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example, many tests did not actually capture data because the command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failed to</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run properly. Other records had outlier values that made no sense because the operator had tried to run two commands during one test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run</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 used these preprocessing techniques to handle missing and invalid values, then grouped the data in </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various ways</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explore relationships between command timing and our other measured test parameters.</w:t>
      </w:r>
    </w:p>
    <w:p xmlns:wp14="http://schemas.microsoft.com/office/word/2010/wordml" w:rsidP="4DD41972" wp14:paraId="0CE0E5BC" wp14:textId="23FB410C">
      <w:pPr>
        <w:spacing w:line="480" w:lineRule="auto"/>
        <w:rPr>
          <w:rFonts w:ascii="Times New Roman" w:hAnsi="Times New Roman" w:eastAsia="Times New Roman" w:cs="Times New Roman"/>
          <w:sz w:val="24"/>
          <w:szCs w:val="24"/>
        </w:rPr>
      </w:pPr>
      <w:r w:rsidRPr="4DD41972">
        <w:rPr>
          <w:rFonts w:ascii="Times New Roman" w:hAnsi="Times New Roman" w:eastAsia="Times New Roman" w:cs="Times New Roman"/>
          <w:sz w:val="24"/>
          <w:szCs w:val="24"/>
        </w:rPr>
        <w:br w:type="page"/>
      </w:r>
    </w:p>
    <w:p xmlns:wp14="http://schemas.microsoft.com/office/word/2010/wordml" w:rsidP="4DD41972" wp14:paraId="4931ED05" wp14:textId="100F445B">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DD41972" wp14:paraId="618181E3" wp14:textId="5B64DF3F">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Bonnefoy P., Chaize E., Mansuy R., and Tazi M. (2024). </w:t>
      </w:r>
      <w:r w:rsidRPr="4DD41972" w:rsidR="013AC98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The Definitive Guide to Data Integration</w:t>
      </w: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Packt Publishing Ltd.</w:t>
      </w:r>
    </w:p>
    <w:p xmlns:wp14="http://schemas.microsoft.com/office/word/2010/wordml" w:rsidP="4DD41972" wp14:paraId="2C078E63" wp14:textId="538AC427">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7672f9c88cde4ef6">
        <w:r w:rsidRPr="4DD41972" w:rsidR="013AC982">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DD41972" w:rsidR="013AC98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https://www.zybooks.com/catalog/programming-in-python-3/</w:t>
        </w:r>
      </w:hyperlink>
      <w:r w:rsidRPr="4DD41972" w:rsidR="013AC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(accessed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89f6d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5CBEE"/>
    <w:rsid w:val="013AC982"/>
    <w:rsid w:val="0FBEBF1A"/>
    <w:rsid w:val="4165CBEE"/>
    <w:rsid w:val="4DD41972"/>
    <w:rsid w:val="6F95D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2147"/>
  <w15:chartTrackingRefBased/>
  <w15:docId w15:val="{99FD2875-CAB6-4C24-860E-F76301533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D419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D41972"/>
    <w:pPr>
      <w:spacing/>
      <w:ind w:left="720"/>
      <w:contextualSpacing/>
    </w:pPr>
  </w:style>
  <w:style w:type="character" w:styleId="Hyperlink">
    <w:uiPriority w:val="99"/>
    <w:name w:val="Hyperlink"/>
    <w:basedOn w:val="DefaultParagraphFont"/>
    <w:unhideWhenUsed/>
    <w:rsid w:val="4DD4197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zybooks.com/catalog/programming-in-python-3/" TargetMode="External" Id="R7672f9c88cde4ef6" /><Relationship Type="http://schemas.openxmlformats.org/officeDocument/2006/relationships/numbering" Target="numbering.xml" Id="Re2970784497440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2026-05-09T18:58:31.2222893Z</dcterms:created>
  <dcterms:modified xsi:type="dcterms:W3CDTF">2026-05-09T19:00:01.9380756Z</dcterms:modified>
  <dc:creator>Rhea, Sharie</dc:creator>
  <lastModifiedBy>Rhea, Sharie</lastModifiedBy>
</coreProperties>
</file>