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CE428A" wp14:paraId="50FE332F" wp14:textId="6A3F744A">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4F6CD09E" wp14:textId="4E889BE7">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6C078C30" wp14:textId="30346E2D">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15A5AA7E" wp14:textId="0C72A4A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5B5F2039" wp14:textId="70B54247">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4426B92E" wp14:textId="04A9772D">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636FD148" wp14:textId="6B861134">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Assignment 06-2: Advanced Data Visualization With Python</w:t>
      </w:r>
    </w:p>
    <w:p xmlns:wp14="http://schemas.microsoft.com/office/word/2010/wordml" w:rsidP="4DCE428A" wp14:paraId="0825B939" wp14:textId="2751797E">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06E6BF65" wp14:textId="5CC8AF18">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DCE428A" wp14:paraId="7689B4FE" wp14:textId="5E2DFB6C">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DCE428A" wp14:paraId="1C710E93" wp14:textId="39DBFF71">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4DCE428A" wp14:paraId="74795197" wp14:textId="4029AF05">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4DCE428A" wp14:paraId="6F11305F" wp14:textId="772534D5">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May 31, 2026</w:t>
      </w:r>
    </w:p>
    <w:p xmlns:wp14="http://schemas.microsoft.com/office/word/2010/wordml" w:rsidP="4DCE428A" wp14:paraId="27B987F1" wp14:textId="24D3918C">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263D2FB1" wp14:textId="469CF3FA">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40B1D0A9" wp14:textId="62C066CB">
      <w:pPr>
        <w:spacing w:before="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4DCE428A" wp14:paraId="1561E822" wp14:textId="304E25EB">
      <w:pPr>
        <w:spacing w:line="480" w:lineRule="auto"/>
        <w:rPr>
          <w:rFonts w:ascii="Times New Roman" w:hAnsi="Times New Roman" w:eastAsia="Times New Roman" w:cs="Times New Roman" w:asciiTheme="minorAscii" w:hAnsiTheme="minorAscii" w:eastAsiaTheme="minorAscii" w:cstheme="minorAscii"/>
          <w:sz w:val="24"/>
          <w:szCs w:val="24"/>
        </w:rPr>
      </w:pPr>
      <w:r w:rsidRPr="4DCE428A">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4DCE428A" wp14:paraId="50334261" wp14:textId="4389204E">
      <w:pPr>
        <w:pStyle w:val="Normal"/>
        <w:spacing w:before="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This report explores COVID-19 deaths by country from January 4, 2020 to August 4, 2024. To begin, the data was explored, cleaned, and preprocessed. Fortunately, there were no missing (NaN) values in this data, so no rows were dropped. Additionally, a review of a few sample rows of data revealed that each row represents the total deaths in a specific country (or region) up to that date, and not the individual number of deaths that were reported on that date. The final preprocessing step was to normalize each death count on a scale of zero to one and round to four decimal places, so that relative death count growth could be compared between countries (Jafari, 2022). Next, multiple static and dynamic visualizations were created to explore the relationships and patterns in the dataset.</w:t>
      </w:r>
    </w:p>
    <w:p xmlns:wp14="http://schemas.microsoft.com/office/word/2010/wordml" w:rsidP="4DCE428A" wp14:paraId="4F85ED8E" wp14:textId="78D72920">
      <w:pPr>
        <w:spacing w:before="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design choices for this project were driven by the dual goals of maximizing information density while maintaining clarity for the end user. In the static visualizations, the decision to utilize the "coolwarm" color palette for the correlation heatmap was intentional, as its perceptually uniform scale ensures that data relationships remain interpretable even for those with color vision deficiencies (Cremonini, 2023). By standardizing the scale and proportions across all bar and line charts, I aimed to eliminate visual bias, allowing the viewer to compare relative magnitudes across different subcategories without being misled by distorted axes. Furthermore, the inclusion of clear labels and annotations served as a vital layer of context, transforming raw data points into a narrative that highlights specific trends and outliers within the dataset (Cremonini, 2023).</w:t>
      </w:r>
    </w:p>
    <w:p xmlns:wp14="http://schemas.microsoft.com/office/word/2010/wordml" w:rsidP="4DCE428A" wp14:paraId="07BCD436" wp14:textId="555CDD8D">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Implementing interactivity and animation using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Plotly</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presented several technical challenges, particularly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regarding</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synchronization of the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Overview+Detail</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visualization. Ensuring that the overview anchor remained consistent while the detail view responded to specific filters required a careful mapping of the data structure. I addressed this by implementing a robust data-joining process that linked the global benchmark to individual country profiles, allowing for seamless drill-down functionality. Additionally, managing the cognitive load of the user was a primary concern during the animation phase; I opted for subtle transition effects that reinforce the temporal changes in the data rather than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distracting from</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them. By integrating hover tooltips and dropdown menus, the design allows users to explore deep levels of data at their own pace, effectively reducing the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initial</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complexity of the interface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2023). Finally, my </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initial</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code for creating the animation was ineffic</w:t>
      </w:r>
      <w:r w:rsidRPr="4DCE428A" w:rsidR="20FFDE7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ient, and used too much memory for the </w:t>
      </w:r>
      <w:r w:rsidRPr="4DCE428A" w:rsidR="20FFDE7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JupyterNotebook</w:t>
      </w:r>
      <w:r w:rsidRPr="4DCE428A" w:rsidR="20FFDE7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handle. I addressed this by returning to the normal “un-melted” dataset to filter during frames.</w:t>
      </w:r>
    </w:p>
    <w:p xmlns:wp14="http://schemas.microsoft.com/office/word/2010/wordml" w:rsidP="4DCE428A" wp14:paraId="66747BE0" wp14:textId="0003F855">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Evaluation of the final visualizations suggests that the integration of accessibility features significantly enhanced the project's impact. Beyond the use of accessible color palettes, I focused on font legibility and high-contrast gridlines to ensure that the visual theme remained consistent across both static and interactive formats. The optimization of the layout involved removing redundant visual elements—often referred to as "chart junk"—which helped in centering the user's attention on the key insights derived from the normalized data (Cremonini, 2023). These design considerations, combined with the technical preprocessing steps such as min-max scaling and rounding, resulted in a highly functional tool that balances technical depth with ease of use for a diverse audience.</w:t>
      </w:r>
    </w:p>
    <w:p xmlns:wp14="http://schemas.microsoft.com/office/word/2010/wordml" w:rsidP="4DCE428A" wp14:paraId="646FB0F5" wp14:textId="38122499">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4DCE428A" wp14:paraId="2AC71D23" wp14:textId="12293315">
      <w:pPr>
        <w:spacing w:before="280" w:beforeAutospacing="off" w:after="28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rsidP="4DCE428A" wp14:paraId="7608FCB1" wp14:textId="07137244">
      <w:pPr>
        <w:spacing w:line="480" w:lineRule="auto"/>
      </w:pPr>
      <w:r>
        <w:br w:type="page"/>
      </w:r>
    </w:p>
    <w:p xmlns:wp14="http://schemas.microsoft.com/office/word/2010/wordml" w:rsidP="4DCE428A" wp14:paraId="69891CC4" wp14:textId="3C1973C8">
      <w:pPr>
        <w:pStyle w:val="Normal"/>
        <w:spacing w:before="280" w:beforeAutospacing="off" w:after="28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DCE428A" wp14:paraId="1E370EDF" wp14:textId="342AFE72">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a65bea28955148a6">
        <w:r w:rsidRPr="4DCE428A" w:rsidR="184049E7">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4DCE428A" w:rsidR="184049E7">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https://www.zybooks.com/catalog/programming-in-python-3/</w:t>
        </w:r>
      </w:hyperlink>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4DCE428A" wp14:paraId="2C078E63" wp14:textId="01B6AEDF">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Jafari, R. (2022). </w:t>
      </w:r>
      <w:r w:rsidRPr="4DCE428A" w:rsidR="184049E7">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Hands-On Data Preprocessing in Python</w:t>
      </w:r>
      <w:r w:rsidRPr="4DCE428A" w:rsidR="184049E7">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Packt Publishing Ltd.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7297f1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eed8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a8905a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101207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da00c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d79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EEEB93"/>
    <w:rsid w:val="1268B465"/>
    <w:rsid w:val="184049E7"/>
    <w:rsid w:val="20FFDE75"/>
    <w:rsid w:val="334D4BEC"/>
    <w:rsid w:val="4DCE428A"/>
    <w:rsid w:val="4E241D38"/>
    <w:rsid w:val="58EEE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971A"/>
  <w15:chartTrackingRefBased/>
  <w15:docId w15:val="{B17B0F71-DC65-48A2-AA3D-7EF1CCCF2A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DCE42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CE428A"/>
    <w:pPr>
      <w:spacing/>
      <w:ind w:left="720"/>
      <w:contextualSpacing/>
    </w:pPr>
  </w:style>
  <w:style w:type="character" w:styleId="Hyperlink">
    <w:uiPriority w:val="99"/>
    <w:name w:val="Hyperlink"/>
    <w:basedOn w:val="DefaultParagraphFont"/>
    <w:unhideWhenUsed/>
    <w:rsid w:val="4DCE428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zybooks.com/catalog/programming-in-python-3/" TargetMode="External" Id="Ra65bea28955148a6" /><Relationship Type="http://schemas.openxmlformats.org/officeDocument/2006/relationships/numbering" Target="numbering.xml" Id="R579b3c0691794f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2026-05-31T20:41:10.7977377Z</dcterms:created>
  <dcterms:modified xsi:type="dcterms:W3CDTF">2026-05-31T20:43:34.6962804Z</dcterms:modified>
  <dc:creator>Rhea, Sharie</dc:creator>
  <lastModifiedBy>Rhea, Sharie</lastModifiedBy>
</coreProperties>
</file>