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6CED1AA" wp14:paraId="731D3671" wp14:textId="75336154">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56CED1AA" wp14:paraId="7E8DCC79" wp14:textId="5B748C6F">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56CED1AA" wp14:paraId="7645300D" wp14:textId="212114C4">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56CED1AA" wp14:paraId="68CE2FE2" wp14:textId="00420123">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56CED1AA" wp14:paraId="3B549815" wp14:textId="1D43B327">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56CED1AA" wp14:paraId="40638F5C" wp14:textId="2AFF3EF6">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56CED1AA" wp14:paraId="6DDC4783" wp14:textId="42AFE066">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56CED1AA" w:rsidR="327CFC6A">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Assignment 07-2: Understanding Exploratory and Explanatory Analysis</w:t>
      </w:r>
    </w:p>
    <w:p xmlns:wp14="http://schemas.microsoft.com/office/word/2010/wordml" w:rsidP="56CED1AA" wp14:paraId="21E99B2A" wp14:textId="30899CD1">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56CED1AA" wp14:paraId="513AAA64" wp14:textId="787552A8">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56CED1AA" wp14:paraId="4C825655" wp14:textId="7CBEE778">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56CED1AA" wp14:paraId="53F9F761" wp14:textId="638D4029">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CS 540: Data Literacy and Visualization</w:t>
      </w:r>
    </w:p>
    <w:p xmlns:wp14="http://schemas.microsoft.com/office/word/2010/wordml" w:rsidP="56CED1AA" wp14:paraId="3C41F5EE" wp14:textId="371A4D4C">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Mahmoud Al-Khassaweneh</w:t>
      </w:r>
    </w:p>
    <w:p xmlns:wp14="http://schemas.microsoft.com/office/word/2010/wordml" w:rsidP="56CED1AA" wp14:paraId="7A9BC145" wp14:textId="66FCAEF8">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June 7, 2026</w:t>
      </w:r>
    </w:p>
    <w:p xmlns:wp14="http://schemas.microsoft.com/office/word/2010/wordml" w:rsidP="56CED1AA" wp14:paraId="2754EC19" wp14:textId="4478C326">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56CED1AA" wp14:paraId="60FCC005" wp14:textId="512D76F8">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56CED1AA" wp14:paraId="7B07C45B" wp14:textId="64AEA274">
      <w:pPr>
        <w:spacing w:before="280" w:beforeAutospacing="off" w:after="28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p>
    <w:p xmlns:wp14="http://schemas.microsoft.com/office/word/2010/wordml" w:rsidP="56CED1AA" wp14:paraId="3B03F936" wp14:textId="330D2EB9">
      <w:pPr>
        <w:spacing w:line="480" w:lineRule="auto"/>
        <w:rPr>
          <w:rFonts w:ascii="Times New Roman" w:hAnsi="Times New Roman" w:eastAsia="Times New Roman" w:cs="Times New Roman" w:asciiTheme="minorAscii" w:hAnsiTheme="minorAscii" w:eastAsiaTheme="minorAscii" w:cstheme="minorAscii"/>
          <w:sz w:val="24"/>
          <w:szCs w:val="24"/>
        </w:rPr>
      </w:pPr>
      <w:r w:rsidRPr="56CED1AA">
        <w:rPr>
          <w:rFonts w:ascii="Times New Roman" w:hAnsi="Times New Roman" w:eastAsia="Times New Roman" w:cs="Times New Roman" w:asciiTheme="minorAscii" w:hAnsiTheme="minorAscii" w:eastAsiaTheme="minorAscii" w:cstheme="minorAscii"/>
          <w:sz w:val="24"/>
          <w:szCs w:val="24"/>
        </w:rPr>
        <w:br w:type="page"/>
      </w:r>
    </w:p>
    <w:p xmlns:wp14="http://schemas.microsoft.com/office/word/2010/wordml" w:rsidP="56CED1AA" wp14:paraId="669DA7F2" wp14:textId="3EC9D24D">
      <w:pPr>
        <w:pStyle w:val="Normal"/>
        <w:spacing w:before="280" w:beforeAutospacing="off" w:after="28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Explanatory analysis is the internal process of searching through a dataset to discover patterns, relationships, correlations, anomalies, and discrepancies with the goal of understanding the dataset and finding noteworthy pieces of information. In this process, all data–including outliers and noise–is retained and used. On the other hand, explanatory analysis is the targeted communication of a specific insight with the goal of driving change or decision. This type of analysis removes extraneous data points that are not relevant to the central insight. Because of their differing goals, exploratory and explanatory analysis are visualized in different ways. Intended for an internal audience and used as a tool for discovery, exploratory visualizations are often complex, include many variables, and may contain interactive controls to compare fields (Cremonini, 2023). Explanatory visualizations are clean and focused, often including just one or two variables in an intuitive chart (Cremonini, 2023). They may also be heavily annotated to explain crucial takeaways.</w:t>
      </w:r>
    </w:p>
    <w:p xmlns:wp14="http://schemas.microsoft.com/office/word/2010/wordml" w:rsidP="56CED1AA" wp14:paraId="2CBEFEE1" wp14:textId="557B3928">
      <w:pPr>
        <w:spacing w:before="280" w:beforeAutospacing="off" w:after="28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Consider a scenario from the field of higher education: You have a massive spreadsheet containing the cumulative grade point average (CGPA), department, gender, income, attendance, and other academic and socioeconomic indicators (Hasan, 2024). Exploratory analysis may begin with creating a collection of faceted scatterplots representing High School GPA vs. University CGPA for each department. A fourth dimension–attendance rate–can be added by altering the color of each data point. While visually cluttered, this large visualization serves as a high-level overview of the data that can reveal common trends. Figure 1 shows a realization of this chart. It is immediately clear that the majority of the data resides in the Computer Science and Engineering department, and that there is a strong correlation between attendance and University CGPA.</w:t>
      </w:r>
    </w:p>
    <w:p xmlns:wp14="http://schemas.microsoft.com/office/word/2010/wordml" w:rsidP="56CED1AA" wp14:paraId="631F5A55" wp14:textId="7E137749">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56CED1AA" w:rsidR="327CFC6A">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Figure 1</w:t>
      </w:r>
    </w:p>
    <w:p xmlns:wp14="http://schemas.microsoft.com/office/word/2010/wordml" w:rsidP="56CED1AA" wp14:paraId="15120E7E" wp14:textId="4C42B0FA">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pPr>
      <w:r w:rsidRPr="56CED1AA" w:rsidR="327CFC6A">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t>Exploratory Analysis of High School GPA, University CGPA, Department, and Attendance</w:t>
      </w:r>
    </w:p>
    <w:p xmlns:wp14="http://schemas.microsoft.com/office/word/2010/wordml" w:rsidP="56CED1AA" wp14:paraId="23BC9C6A" wp14:textId="10052CFA">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327CFC6A">
        <w:drawing>
          <wp:inline xmlns:wp14="http://schemas.microsoft.com/office/word/2010/wordprocessingDrawing" wp14:editId="73ABD78A" wp14:anchorId="3769F0FB">
            <wp:extent cx="5943600" cy="2200275"/>
            <wp:effectExtent l="0" t="0" r="0" b="0"/>
            <wp:docPr id="1376575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6575662" name="Picture 1376575662"/>
                    <pic:cNvPicPr/>
                  </pic:nvPicPr>
                  <pic:blipFill>
                    <a:blip xmlns:r="http://schemas.openxmlformats.org/officeDocument/2006/relationships" r:embed="rId795494006">
                      <a:extLst>
                        <a:ext uri="{28A0092B-C50C-407E-A947-70E740481C1C}">
                          <a14:useLocalDpi xmlns:a14="http://schemas.microsoft.com/office/drawing/2010/main"/>
                        </a:ext>
                      </a:extLst>
                    </a:blip>
                    <a:stretch>
                      <a:fillRect/>
                    </a:stretch>
                  </pic:blipFill>
                  <pic:spPr>
                    <a:xfrm>
                      <a:off x="0" y="0"/>
                      <a:ext cx="5943600" cy="2200275"/>
                    </a:xfrm>
                    <a:prstGeom prst="rect">
                      <a:avLst/>
                    </a:prstGeom>
                  </pic:spPr>
                </pic:pic>
              </a:graphicData>
            </a:graphic>
          </wp:inline>
        </w:drawing>
      </w:r>
      <w:r>
        <w:tab/>
      </w: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Now that an insight has been discovered, it is </w:t>
      </w: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appropriate to</w:t>
      </w: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create an explanatory visualization. This chart is restricted to only Computer Science and Engineering </w:t>
      </w: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majors, and</w:t>
      </w: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t>
      </w: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eliminates</w:t>
      </w: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the High School GPA field entirely. Instead, Figure 2 illustrates a clear conclusion that can be drawn from the data in a simple bar chart using the average CGPA rather than individual data points. </w:t>
      </w: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The color red</w:t>
      </w: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and </w:t>
      </w: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an annotated</w:t>
      </w: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callout to draw attention to the key insight: CGPA drops by more than 1 point when attendance falls below 40%. Additionally, the title </w:t>
      </w: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states</w:t>
      </w: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the insight, “Absenteeism Directly Impacts Academic Success,” rather than just </w:t>
      </w: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stating</w:t>
      </w: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“Attendance Rate vs. Average University CGPA.”</w:t>
      </w:r>
    </w:p>
    <w:p xmlns:wp14="http://schemas.microsoft.com/office/word/2010/wordml" w:rsidP="56CED1AA" wp14:paraId="7FBC4049" wp14:textId="1B952364">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56CED1AA" w:rsidR="327CFC6A">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Figure 2</w:t>
      </w:r>
    </w:p>
    <w:p xmlns:wp14="http://schemas.microsoft.com/office/word/2010/wordml" w:rsidP="56CED1AA" wp14:paraId="232511C7" wp14:textId="16AC58C3">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pPr>
      <w:r w:rsidRPr="56CED1AA" w:rsidR="327CFC6A">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t>Exploratory Analysis of the Impact of Attendance on Academic Success for Computer Science and Engineering Majors</w:t>
      </w:r>
    </w:p>
    <w:p xmlns:wp14="http://schemas.microsoft.com/office/word/2010/wordml" w:rsidP="56CED1AA" wp14:paraId="5C0AF2B0" wp14:textId="72B15A9D">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327CFC6A">
        <w:drawing>
          <wp:inline xmlns:wp14="http://schemas.microsoft.com/office/word/2010/wordprocessingDrawing" wp14:editId="3A19F77F" wp14:anchorId="749B06CC">
            <wp:extent cx="5943600" cy="4200525"/>
            <wp:effectExtent l="0" t="0" r="0" b="0"/>
            <wp:docPr id="11659610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5961013" name="Picture 1165961013"/>
                    <pic:cNvPicPr/>
                  </pic:nvPicPr>
                  <pic:blipFill>
                    <a:blip xmlns:r="http://schemas.openxmlformats.org/officeDocument/2006/relationships" r:embed="rId1395973329">
                      <a:extLst>
                        <a:ext uri="{28A0092B-C50C-407E-A947-70E740481C1C}">
                          <a14:useLocalDpi xmlns:a14="http://schemas.microsoft.com/office/drawing/2010/main"/>
                        </a:ext>
                      </a:extLst>
                    </a:blip>
                    <a:stretch>
                      <a:fillRect/>
                    </a:stretch>
                  </pic:blipFill>
                  <pic:spPr>
                    <a:xfrm>
                      <a:off x="0" y="0"/>
                      <a:ext cx="5943600" cy="4200525"/>
                    </a:xfrm>
                    <a:prstGeom prst="rect">
                      <a:avLst/>
                    </a:prstGeom>
                  </pic:spPr>
                </pic:pic>
              </a:graphicData>
            </a:graphic>
          </wp:inline>
        </w:drawing>
      </w:r>
      <w:r>
        <w:tab/>
      </w: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In a broader analytical context, each analysis fits into a different step in the data lifecycle. Exploratory analysis falls into the early or middle stage, just after data cleaning and preprocessing (</w:t>
      </w: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Cremonini</w:t>
      </w: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2023). This is the stage in which hypotheses are formed. Explanatory analysis is a </w:t>
      </w: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late stage</w:t>
      </w: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process, often the </w:t>
      </w: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final step</w:t>
      </w: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of the lifecycle (</w:t>
      </w: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Cremonini</w:t>
      </w: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2023). Once a hypothesis has been proven true and actionable, the insight is neatly visualized for communication to the decision-makers or final audience (</w:t>
      </w: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Cremonini</w:t>
      </w: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2023). </w:t>
      </w:r>
    </w:p>
    <w:p xmlns:wp14="http://schemas.microsoft.com/office/word/2010/wordml" w:rsidP="56CED1AA" wp14:paraId="1C658B87" wp14:textId="5E101A2C">
      <w:pPr>
        <w:spacing w:before="280" w:beforeAutospacing="off" w:after="28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Within the field of higher education, exploratory analysis acts as an early warning system to uncover equity gaps or provide evidence of successful programs. Besides the impact of attendance on CGPA, this process might reveal disparities between students from cities as opposed to villages, or show which departments are male or female dominated. On a more positive note, it might also show the success of a new program to raise preparation time by providing more study spaces on campus. In this way, exploratory analysis drives decisions to investigate and dive into specific areas that warrant more in-depth research and understanding. On the other hand, explanatory analysis directly secures institutional buy-in from school boards and community investors. These stakeholders do not have the time to parse through overloaded charts or raw data, and instead rely on clear and accurate visualizations to vote on issues or make decisions on where money should be invested.</w:t>
      </w:r>
    </w:p>
    <w:p xmlns:wp14="http://schemas.microsoft.com/office/word/2010/wordml" w:rsidP="56CED1AA" wp14:paraId="1AE27DCB" wp14:textId="3B2D92F8">
      <w:pPr>
        <w:spacing w:before="0" w:beforeAutospacing="off" w:after="28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Mastering the distinction between these two processes radically improves professional data efficacy. A common pitfall is to show off all the exploratory analysis to prove the robustness of the insight and provide evidence for the work that led to the final conclusion (Cremonini, 2023). Unfortunately, this tactic only leads to cluttered charts, confusing call-to-actions, and potentially even no clear result. Many hours may be saved by allowing internal exploratory charts to remain unpolished, since they will never be seen by a stakeholder audience. Visualizations tailored to a specific audience with clear bottom-line insights increases one’s influence and reputation as a credible expert (Cremonini, 2023). Finally, decisions and actions are backed by real exploration and analysis rather than gut feelings or worse–misleading charts. </w:t>
      </w:r>
    </w:p>
    <w:p xmlns:wp14="http://schemas.microsoft.com/office/word/2010/wordml" w:rsidP="56CED1AA" wp14:paraId="15CDBF13" wp14:textId="43BB1965">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p>
    <w:p xmlns:wp14="http://schemas.microsoft.com/office/word/2010/wordml" w:rsidP="56CED1AA" wp14:paraId="230D9D16" wp14:textId="79964ACA">
      <w:pPr>
        <w:spacing w:line="480" w:lineRule="auto"/>
        <w:rPr>
          <w:rFonts w:ascii="Times New Roman" w:hAnsi="Times New Roman" w:eastAsia="Times New Roman" w:cs="Times New Roman" w:asciiTheme="minorAscii" w:hAnsiTheme="minorAscii" w:eastAsiaTheme="minorAscii" w:cstheme="minorAscii"/>
          <w:sz w:val="24"/>
          <w:szCs w:val="24"/>
        </w:rPr>
      </w:pPr>
      <w:r w:rsidRPr="56CED1AA">
        <w:rPr>
          <w:rFonts w:ascii="Times New Roman" w:hAnsi="Times New Roman" w:eastAsia="Times New Roman" w:cs="Times New Roman" w:asciiTheme="minorAscii" w:hAnsiTheme="minorAscii" w:eastAsiaTheme="minorAscii" w:cstheme="minorAscii"/>
          <w:sz w:val="24"/>
          <w:szCs w:val="24"/>
        </w:rPr>
        <w:br w:type="page"/>
      </w:r>
    </w:p>
    <w:p xmlns:wp14="http://schemas.microsoft.com/office/word/2010/wordml" w:rsidP="56CED1AA" wp14:paraId="20FC3E0A" wp14:textId="74CD7137">
      <w:pPr>
        <w:pStyle w:val="Normal"/>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56CED1AA" w:rsidR="327CFC6A">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56CED1AA" wp14:paraId="449A142D" wp14:textId="0181932F">
      <w:pPr>
        <w:spacing w:before="0" w:beforeAutospacing="off" w:after="0" w:afterAutospacing="off" w:line="480" w:lineRule="auto"/>
        <w:ind w:left="720" w:hanging="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Cremonini, M. (2023). Programming in Python 3. zyBooks, a Wiley brand.</w:t>
      </w:r>
      <w:hyperlink r:id="R659637bba3464e08">
        <w:r w:rsidRPr="56CED1AA" w:rsidR="327CFC6A">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t>
        </w:r>
        <w:r w:rsidRPr="56CED1AA" w:rsidR="327CFC6A">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155CC"/>
            <w:sz w:val="24"/>
            <w:szCs w:val="24"/>
            <w:u w:val="none"/>
            <w:lang w:val="en-US"/>
          </w:rPr>
          <w:t>https://www.zybooks.com/catalog/programming-in-python-3/</w:t>
        </w:r>
      </w:hyperlink>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(accessed 2026).</w:t>
      </w:r>
    </w:p>
    <w:p xmlns:wp14="http://schemas.microsoft.com/office/word/2010/wordml" w:rsidP="56CED1AA" wp14:paraId="41C25467" wp14:textId="72E7C815">
      <w:pPr>
        <w:spacing w:before="0" w:beforeAutospacing="off" w:after="0" w:afterAutospacing="off" w:line="480" w:lineRule="auto"/>
        <w:ind w:left="720" w:hanging="720"/>
        <w:rPr>
          <w:rFonts w:ascii="Times New Roman" w:hAnsi="Times New Roman" w:eastAsia="Times New Roman" w:cs="Times New Roman" w:asciiTheme="minorAscii" w:hAnsiTheme="minorAscii" w:eastAsiaTheme="minorAscii" w:cstheme="minorAscii"/>
          <w:sz w:val="24"/>
          <w:szCs w:val="24"/>
        </w:rPr>
      </w:pP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Hasan, T. (2024). </w:t>
      </w:r>
      <w:r w:rsidRPr="56CED1AA" w:rsidR="327CFC6A">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t>Student Performance Metrics Dataset</w:t>
      </w:r>
      <w:r w:rsidRPr="56CED1AA" w:rsidR="327CFC6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Mendeley Data, 1. </w:t>
      </w:r>
      <w:hyperlink r:id="Rb4efafef5fb847be">
        <w:r w:rsidRPr="56CED1AA" w:rsidR="327CFC6A">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155CC"/>
            <w:sz w:val="24"/>
            <w:szCs w:val="24"/>
            <w:u w:val="none"/>
            <w:lang w:val="en-US"/>
          </w:rPr>
          <w:t>https://doi.org/10.17632/5b82ytz489.1</w:t>
        </w:r>
      </w:hyperlink>
    </w:p>
    <w:p xmlns:wp14="http://schemas.microsoft.com/office/word/2010/wordml" w:rsidP="56CED1AA" wp14:paraId="2C078E63" wp14:textId="31B31EF6">
      <w:pPr>
        <w:spacing w:line="480" w:lineRule="auto"/>
        <w:rPr>
          <w:rFonts w:ascii="Times New Roman" w:hAnsi="Times New Roman" w:eastAsia="Times New Roman" w:cs="Times New Roman" w:asciiTheme="minorAscii" w:hAnsiTheme="minorAscii" w:eastAsiaTheme="minorAscii" w:cstheme="minorAscii"/>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4f882e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38920B"/>
    <w:rsid w:val="1338920B"/>
    <w:rsid w:val="327CFC6A"/>
    <w:rsid w:val="3CD90BDA"/>
    <w:rsid w:val="56CED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91CC4"/>
  <w15:chartTrackingRefBased/>
  <w15:docId w15:val="{7F7EC4B1-D869-41B4-8B11-778B897052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6CED1A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6CED1AA"/>
    <w:pPr>
      <w:spacing/>
      <w:ind w:left="720"/>
      <w:contextualSpacing/>
    </w:pPr>
  </w:style>
  <w:style w:type="character" w:styleId="Hyperlink">
    <w:uiPriority w:val="99"/>
    <w:name w:val="Hyperlink"/>
    <w:basedOn w:val="DefaultParagraphFont"/>
    <w:unhideWhenUsed/>
    <w:rsid w:val="56CED1A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795494006" /><Relationship Type="http://schemas.openxmlformats.org/officeDocument/2006/relationships/image" Target="/media/image2.png" Id="rId1395973329" /><Relationship Type="http://schemas.openxmlformats.org/officeDocument/2006/relationships/hyperlink" Target="https://www.zybooks.com/catalog/programming-in-python-3/" TargetMode="External" Id="R659637bba3464e08" /><Relationship Type="http://schemas.openxmlformats.org/officeDocument/2006/relationships/hyperlink" Target="https://doi.org/10.17632/5b82ytz489.1" TargetMode="External" Id="Rb4efafef5fb847be" /><Relationship Type="http://schemas.openxmlformats.org/officeDocument/2006/relationships/numbering" Target="numbering.xml" Id="Rc9c13dd96ffe47b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2026-06-07T16:36:17.4233621Z</dcterms:created>
  <dcterms:modified xsi:type="dcterms:W3CDTF">2026-06-07T16:37:25.7502482Z</dcterms:modified>
  <dc:creator>Rhea, Sharie</dc:creator>
  <lastModifiedBy>Rhea, Sharie</lastModifiedBy>
</coreProperties>
</file>