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FAC3DC" wp14:paraId="78C0DB30" wp14:textId="0D8AF01C">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6EFAC3DC" wp14:paraId="77D64604" wp14:textId="4613A4B4">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6EFAC3DC" wp14:paraId="70C0421C" wp14:textId="57495D6D">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6EFAC3DC" wp14:paraId="4835B12C" wp14:textId="6197C248">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6EFAC3DC" wp14:paraId="7CD6CEFC" wp14:textId="60AFEBB6">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6EFAC3DC" wp14:paraId="619F84FA" wp14:textId="65440F50">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6EFAC3DC" wp14:paraId="3343E1F4" wp14:textId="332D2C5B">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6EFAC3DC" w:rsidR="1595BF2E">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Journal 10-1: Reflection</w:t>
      </w:r>
    </w:p>
    <w:p xmlns:wp14="http://schemas.microsoft.com/office/word/2010/wordml" w:rsidP="6EFAC3DC" wp14:paraId="5A63BCC5" wp14:textId="344423BB">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6EFAC3DC" wp14:paraId="57A766A3" wp14:textId="2A4BBB18">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6EFAC3DC" w:rsidR="1595BF2E">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6EFAC3DC" wp14:paraId="6B014285" wp14:textId="38F96CD8">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6EFAC3DC" w:rsidR="1595BF2E">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6EFAC3DC" wp14:paraId="5B8D3CD2" wp14:textId="488AF1EA">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6EFAC3DC" w:rsidR="1595BF2E">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CS 540: Data Literacy and Visualization</w:t>
      </w:r>
    </w:p>
    <w:p xmlns:wp14="http://schemas.microsoft.com/office/word/2010/wordml" w:rsidP="6EFAC3DC" wp14:paraId="5C38AB96" wp14:textId="68497C36">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6EFAC3DC" w:rsidR="1595BF2E">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Mahmoud Al-Khassaweneh</w:t>
      </w:r>
    </w:p>
    <w:p xmlns:wp14="http://schemas.microsoft.com/office/word/2010/wordml" w:rsidP="6EFAC3DC" wp14:paraId="22303E0A" wp14:textId="14255EFB">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6EFAC3DC" w:rsidR="1595BF2E">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June 28, 2026</w:t>
      </w:r>
    </w:p>
    <w:p xmlns:wp14="http://schemas.microsoft.com/office/word/2010/wordml" w:rsidP="6EFAC3DC" wp14:paraId="02F27047" wp14:textId="0161E374">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6EFAC3DC" wp14:paraId="0AEDBD54" wp14:textId="43C88F59">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6EFAC3DC" wp14:paraId="59F86AAE" wp14:textId="7A37F40B">
      <w:pPr>
        <w:spacing w:before="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p>
    <w:p xmlns:wp14="http://schemas.microsoft.com/office/word/2010/wordml" w:rsidP="6EFAC3DC" wp14:paraId="7F40EFEF" wp14:textId="3F5F201A">
      <w:pPr>
        <w:spacing w:line="480" w:lineRule="auto"/>
        <w:rPr>
          <w:rFonts w:ascii="Times New Roman" w:hAnsi="Times New Roman" w:eastAsia="Times New Roman" w:cs="Times New Roman" w:asciiTheme="minorAscii" w:hAnsiTheme="minorAscii" w:eastAsiaTheme="minorAscii" w:cstheme="minorAscii"/>
          <w:sz w:val="24"/>
          <w:szCs w:val="24"/>
        </w:rPr>
      </w:pPr>
      <w:r w:rsidRPr="6EFAC3DC">
        <w:rPr>
          <w:rFonts w:ascii="Times New Roman" w:hAnsi="Times New Roman" w:eastAsia="Times New Roman" w:cs="Times New Roman" w:asciiTheme="minorAscii" w:hAnsiTheme="minorAscii" w:eastAsiaTheme="minorAscii" w:cstheme="minorAscii"/>
          <w:sz w:val="24"/>
          <w:szCs w:val="24"/>
        </w:rPr>
        <w:br w:type="page"/>
      </w:r>
    </w:p>
    <w:p xmlns:wp14="http://schemas.microsoft.com/office/word/2010/wordml" w:rsidP="6EFAC3DC" wp14:paraId="729EC40D" wp14:textId="75E15F1C">
      <w:pPr>
        <w:pStyle w:val="Normal"/>
        <w:spacing w:before="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6EFAC3DC" w:rsidR="1595BF2E">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most significant challenge encountered throughout this coursework involved the technical translation of conceptual design into functional output. While I often possessed a clear mental vision for a specific visualization, I frequently struggled to bridge the gap between that ideal and the practical limitations of libraries like Matplotlib, Seaborn, and Plotly Express (Cremonini, 2023). Navigating the syntax and customization constraints of these tools proved daunting. I overcame these obstacles by shifting my approach from rigid adherence to a more flexible approach. By adjusting my vision to accommodate the capabilities of the tools while ensuring the core message remained intact, I learned to prioritize the effective communication of data over perfection.</w:t>
      </w:r>
    </w:p>
    <w:p xmlns:wp14="http://schemas.microsoft.com/office/word/2010/wordml" w:rsidP="6EFAC3DC" wp14:paraId="7E42EA1A" wp14:textId="33F71931">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6EFAC3DC" w:rsidR="1595BF2E">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Refining my data literacy skills is directly applicable to my role as a research scientist at the Air Force Research Laboratory, where the primary objective is to deliver actionable insights to leadership and the warfighter. Higher-level decision-makers often require information stripped of technical jargon, demanding clear, story-driven narratives that emphasize mission impact. By applying advanced visualization techniques to translate complex research findings into legible, compelling stories, I can better harness the emotional and logical dimensions of decision-making. This transition from purely analytical reporting to strategic visual storytelling ensures that my work directly informs critical operational choices rather than becoming obscured by data density.</w:t>
      </w:r>
    </w:p>
    <w:p xmlns:wp14="http://schemas.microsoft.com/office/word/2010/wordml" w:rsidP="6EFAC3DC" wp14:paraId="60041B2C" wp14:textId="1627B48B">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6EFAC3DC" w:rsidR="1595BF2E">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These principles were effectively demonstrated in my assignment regarding Washington State public transportation, where a cohesive series of three visualizations established a clear, data-driven narrative (Cremonini, 2023). The first visual highlighted the reliance on subsidies by showing that fare revenue recovery remained below 10% across agencies. The second illustrated that buses are the essential mode of transit across both rural and urban topographies. And the third identified that trip efficiency is primarily a product of route utilization rather than trip length. Together, these visualizations supported a specific stakeholder recommendation: prioritize non-profit funding toward highly utilized bus routes to maximize equitable improvements across all district densities. By weaving these findings into a logical progression, the visualizations provided a rigorous foundation for a targeted course of action.</w:t>
      </w:r>
    </w:p>
    <w:p xmlns:wp14="http://schemas.microsoft.com/office/word/2010/wordml" w:rsidP="6EFAC3DC" wp14:paraId="65373B61" wp14:textId="754137FA">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6EFAC3DC" w:rsidR="1595BF2E">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Ultimately, this course has fundamentally reshaped my perspective on the role of the data practitioner. While I previously understood the functional distinction between exploratory and explanatory data analysis, I lacked the vocabulary to articulate these processes and failed to appreciate the creative potential inherent in professional visualization (Cremonini, 2023). Most importantly, I have internalized the necessity of maintaining intellectual humility throughout the analytical process. I now recognize that my role is to act as an objective conduit for insights rather than an architect tasked with confirming preexisting hypotheses. This shift–from seeking to validate my own assumptions to allowing the data to dictate the narrative–has fundamentally elevated the integrity and impact of my work.</w:t>
      </w:r>
    </w:p>
    <w:p xmlns:wp14="http://schemas.microsoft.com/office/word/2010/wordml" w:rsidP="6EFAC3DC" wp14:paraId="4A7B3194" wp14:textId="5A524D5C">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6EFAC3DC" wp14:paraId="2D0945FE" wp14:textId="0D0ACDE1">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p>
    <w:p xmlns:wp14="http://schemas.microsoft.com/office/word/2010/wordml" w:rsidP="6EFAC3DC" wp14:paraId="5F7F3277" wp14:textId="3C07BD19">
      <w:pPr>
        <w:spacing w:line="480" w:lineRule="auto"/>
        <w:rPr>
          <w:rFonts w:ascii="Times New Roman" w:hAnsi="Times New Roman" w:eastAsia="Times New Roman" w:cs="Times New Roman" w:asciiTheme="minorAscii" w:hAnsiTheme="minorAscii" w:eastAsiaTheme="minorAscii" w:cstheme="minorAscii"/>
          <w:sz w:val="24"/>
          <w:szCs w:val="24"/>
        </w:rPr>
      </w:pPr>
      <w:r w:rsidRPr="6EFAC3DC">
        <w:rPr>
          <w:rFonts w:ascii="Times New Roman" w:hAnsi="Times New Roman" w:eastAsia="Times New Roman" w:cs="Times New Roman" w:asciiTheme="minorAscii" w:hAnsiTheme="minorAscii" w:eastAsiaTheme="minorAscii" w:cstheme="minorAscii"/>
          <w:sz w:val="24"/>
          <w:szCs w:val="24"/>
        </w:rPr>
        <w:br w:type="page"/>
      </w:r>
    </w:p>
    <w:p xmlns:wp14="http://schemas.microsoft.com/office/word/2010/wordml" w:rsidP="6EFAC3DC" wp14:paraId="65CBDAE3" wp14:textId="7224B013">
      <w:pPr>
        <w:pStyle w:val="Normal"/>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6EFAC3DC" w:rsidR="1595BF2E">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6EFAC3DC" wp14:paraId="05D204F5" wp14:textId="557F456A">
      <w:pPr>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6EFAC3DC" w:rsidR="1595BF2E">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Cremonini, M. (2023). Programming in Python 3. zyBooks, a Wiley brand.</w:t>
      </w:r>
      <w:hyperlink r:id="R4dc7606f380548c8">
        <w:r w:rsidRPr="6EFAC3DC" w:rsidR="1595BF2E">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6EFAC3DC" w:rsidR="1595BF2E">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https://www.zybooks.com/catalog/programming-in-python-3/</w:t>
        </w:r>
      </w:hyperlink>
      <w:r w:rsidRPr="6EFAC3DC" w:rsidR="1595BF2E">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(accessed 2026).</w:t>
      </w:r>
    </w:p>
    <w:p xmlns:wp14="http://schemas.microsoft.com/office/word/2010/wordml" w:rsidP="6EFAC3DC" wp14:paraId="69B44DF3" wp14:textId="48EBB2D1">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6EFAC3DC" wp14:paraId="118AB6D6" wp14:textId="342F4D89">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6EFAC3DC" wp14:paraId="2FD12698" wp14:textId="1D37BF03">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6EFAC3DC" wp14:paraId="0D8B7B3B" wp14:textId="2927703C">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6EFAC3DC" wp14:paraId="2C078E63" wp14:textId="7F55F990">
      <w:pPr>
        <w:spacing w:line="480" w:lineRule="auto"/>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3c61d90b"/>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dac7e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73D2DB"/>
    <w:rsid w:val="0773D2DB"/>
    <w:rsid w:val="1595BF2E"/>
    <w:rsid w:val="6EFAC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13495"/>
  <w15:chartTrackingRefBased/>
  <w15:docId w15:val="{335F767C-8B08-4606-BC3A-8680C485BA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EFAC3D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EFAC3DC"/>
    <w:pPr>
      <w:spacing/>
      <w:ind w:left="720"/>
      <w:contextualSpacing/>
    </w:pPr>
  </w:style>
  <w:style w:type="character" w:styleId="Hyperlink">
    <w:uiPriority w:val="99"/>
    <w:name w:val="Hyperlink"/>
    <w:basedOn w:val="DefaultParagraphFont"/>
    <w:unhideWhenUsed/>
    <w:rsid w:val="6EFAC3D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zybooks.com/catalog/programming-in-python-3/" TargetMode="External" Id="R4dc7606f380548c8" /><Relationship Type="http://schemas.openxmlformats.org/officeDocument/2006/relationships/numbering" Target="numbering.xml" Id="Rac224bfc6b9d49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2026-06-27T18:49:15.3912429Z</dcterms:created>
  <dcterms:modified xsi:type="dcterms:W3CDTF">2026-06-27T18:50:28.7890033Z</dcterms:modified>
  <dc:creator>Rhea, Sharie</dc:creator>
  <lastModifiedBy>Rhea, Sharie</lastModifiedBy>
</coreProperties>
</file>