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3D07A4B" wp14:paraId="1FC07C88" wp14:textId="42F4FAE4">
      <w:pPr>
        <w:spacing w:line="480" w:lineRule="auto"/>
        <w:rPr>
          <w:rFonts w:ascii="Times New Roman" w:hAnsi="Times New Roman" w:eastAsia="Times New Roman" w:cs="Times New Roman"/>
          <w:sz w:val="24"/>
          <w:szCs w:val="24"/>
        </w:rPr>
      </w:pPr>
    </w:p>
    <w:p xmlns:wp14="http://schemas.microsoft.com/office/word/2010/wordml" w:rsidP="63D07A4B" wp14:paraId="30E911C3" wp14:textId="1B1B9D47">
      <w:pPr>
        <w:spacing w:line="480" w:lineRule="auto"/>
        <w:rPr>
          <w:rFonts w:ascii="Times New Roman" w:hAnsi="Times New Roman" w:eastAsia="Times New Roman" w:cs="Times New Roman"/>
          <w:sz w:val="24"/>
          <w:szCs w:val="24"/>
        </w:rPr>
      </w:pPr>
    </w:p>
    <w:p xmlns:wp14="http://schemas.microsoft.com/office/word/2010/wordml" w:rsidP="63D07A4B" wp14:paraId="4FE8A246" wp14:textId="6CCAA0E7">
      <w:pPr>
        <w:spacing w:line="480" w:lineRule="auto"/>
        <w:rPr>
          <w:rFonts w:ascii="Times New Roman" w:hAnsi="Times New Roman" w:eastAsia="Times New Roman" w:cs="Times New Roman"/>
          <w:sz w:val="24"/>
          <w:szCs w:val="24"/>
        </w:rPr>
      </w:pPr>
    </w:p>
    <w:p xmlns:wp14="http://schemas.microsoft.com/office/word/2010/wordml" w:rsidP="63D07A4B" wp14:paraId="1E5B3F22" wp14:textId="2E482922">
      <w:pPr>
        <w:spacing w:line="480" w:lineRule="auto"/>
        <w:rPr>
          <w:rFonts w:ascii="Times New Roman" w:hAnsi="Times New Roman" w:eastAsia="Times New Roman" w:cs="Times New Roman"/>
          <w:sz w:val="24"/>
          <w:szCs w:val="24"/>
        </w:rPr>
      </w:pPr>
    </w:p>
    <w:p xmlns:wp14="http://schemas.microsoft.com/office/word/2010/wordml" w:rsidP="63D07A4B" wp14:paraId="6373CF4E" wp14:textId="7AB5F37D">
      <w:pPr>
        <w:spacing w:line="480" w:lineRule="auto"/>
        <w:rPr>
          <w:rFonts w:ascii="Times New Roman" w:hAnsi="Times New Roman" w:eastAsia="Times New Roman" w:cs="Times New Roman"/>
          <w:sz w:val="24"/>
          <w:szCs w:val="24"/>
        </w:rPr>
      </w:pPr>
    </w:p>
    <w:p xmlns:wp14="http://schemas.microsoft.com/office/word/2010/wordml" w:rsidP="63D07A4B" wp14:paraId="41A4F06C" wp14:textId="18B4E91D">
      <w:pPr>
        <w:spacing w:line="480" w:lineRule="auto"/>
        <w:rPr>
          <w:rFonts w:ascii="Times New Roman" w:hAnsi="Times New Roman" w:eastAsia="Times New Roman" w:cs="Times New Roman"/>
          <w:sz w:val="24"/>
          <w:szCs w:val="24"/>
        </w:rPr>
      </w:pPr>
    </w:p>
    <w:p xmlns:wp14="http://schemas.microsoft.com/office/word/2010/wordml" w:rsidP="63D07A4B" wp14:paraId="322C0D8A" wp14:textId="6FF59118">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Activity 05-3: Visualize the Insight: Exploring Patterns with Python</w:t>
      </w:r>
    </w:p>
    <w:p xmlns:wp14="http://schemas.microsoft.com/office/word/2010/wordml" w:rsidP="63D07A4B" wp14:paraId="18C74A22" wp14:textId="2EAF21EC">
      <w:pPr>
        <w:spacing w:line="480" w:lineRule="auto"/>
        <w:rPr>
          <w:rFonts w:ascii="Times New Roman" w:hAnsi="Times New Roman" w:eastAsia="Times New Roman" w:cs="Times New Roman"/>
          <w:sz w:val="24"/>
          <w:szCs w:val="24"/>
        </w:rPr>
      </w:pPr>
    </w:p>
    <w:p xmlns:wp14="http://schemas.microsoft.com/office/word/2010/wordml" w:rsidP="63D07A4B" wp14:paraId="2EDCB2B6" wp14:textId="7B05274F">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63D07A4B" wp14:paraId="40AF7782" wp14:textId="784F91C3">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63D07A4B" wp14:paraId="5A06EA82" wp14:textId="637CA14F">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540: Data Literacy and Visualization</w:t>
      </w:r>
    </w:p>
    <w:p xmlns:wp14="http://schemas.microsoft.com/office/word/2010/wordml" w:rsidP="63D07A4B" wp14:paraId="324FD74D" wp14:textId="24E9F94B">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Mahmoud Al-Khassaweneh</w:t>
      </w:r>
    </w:p>
    <w:p xmlns:wp14="http://schemas.microsoft.com/office/word/2010/wordml" w:rsidP="63D07A4B" wp14:paraId="27AA7BD6" wp14:textId="347C5696">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May 24, 2026</w:t>
      </w:r>
    </w:p>
    <w:p xmlns:wp14="http://schemas.microsoft.com/office/word/2010/wordml" w:rsidP="63D07A4B" wp14:paraId="5405EF47" wp14:textId="2917C319">
      <w:pPr>
        <w:spacing w:line="480" w:lineRule="auto"/>
        <w:rPr>
          <w:rFonts w:ascii="Times New Roman" w:hAnsi="Times New Roman" w:eastAsia="Times New Roman" w:cs="Times New Roman"/>
          <w:sz w:val="24"/>
          <w:szCs w:val="24"/>
        </w:rPr>
      </w:pPr>
      <w:r w:rsidRPr="63D07A4B">
        <w:rPr>
          <w:rFonts w:ascii="Times New Roman" w:hAnsi="Times New Roman" w:eastAsia="Times New Roman" w:cs="Times New Roman"/>
          <w:sz w:val="24"/>
          <w:szCs w:val="24"/>
        </w:rPr>
        <w:br w:type="page"/>
      </w:r>
    </w:p>
    <w:p xmlns:wp14="http://schemas.microsoft.com/office/word/2010/wordml" w:rsidP="63D07A4B" wp14:paraId="30083464" wp14:textId="2429F092">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data for this report comes from the Integrated Postsecondary Education Data System (IPEDS), maintained by the US Department of Education. The original dataset contains 174 columns, but six numerical features were selected for this analysis. For clarity, each column was renamed as follows:</w:t>
      </w:r>
    </w:p>
    <w:p xmlns:wp14="http://schemas.microsoft.com/office/word/2010/wordml" w:rsidP="63D07A4B" wp14:paraId="5D4AAF27" wp14:textId="363C17E0">
      <w:pPr>
        <w:pStyle w:val="ListParagraph"/>
        <w:numPr>
          <w:ilvl w:val="0"/>
          <w:numId w:val="4"/>
        </w:num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'MAIN': 'Main/Branch Campus'</w:t>
      </w:r>
    </w:p>
    <w:p xmlns:wp14="http://schemas.microsoft.com/office/word/2010/wordml" w:rsidP="63D07A4B" wp14:paraId="4A0F4669" wp14:textId="55A807AE">
      <w:pPr>
        <w:pStyle w:val="ListParagraph"/>
        <w:numPr>
          <w:ilvl w:val="0"/>
          <w:numId w:val="4"/>
        </w:num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'CIPCODE': 'Field of Study'</w:t>
      </w:r>
    </w:p>
    <w:p xmlns:wp14="http://schemas.microsoft.com/office/word/2010/wordml" w:rsidP="63D07A4B" wp14:paraId="593D4AFC" wp14:textId="5AF7CB40">
      <w:pPr>
        <w:pStyle w:val="ListParagraph"/>
        <w:numPr>
          <w:ilvl w:val="0"/>
          <w:numId w:val="4"/>
        </w:num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'CREDLEV': 'Credential Level'</w:t>
      </w:r>
    </w:p>
    <w:p xmlns:wp14="http://schemas.microsoft.com/office/word/2010/wordml" w:rsidP="63D07A4B" wp14:paraId="028BC5EB" wp14:textId="3BEBE321">
      <w:pPr>
        <w:pStyle w:val="ListParagraph"/>
        <w:numPr>
          <w:ilvl w:val="0"/>
          <w:numId w:val="4"/>
        </w:num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'IPEDSCOUNT1': 'Awards Year 1'</w:t>
      </w:r>
    </w:p>
    <w:p xmlns:wp14="http://schemas.microsoft.com/office/word/2010/wordml" w:rsidP="63D07A4B" wp14:paraId="58B4F268" wp14:textId="3227FF36">
      <w:pPr>
        <w:pStyle w:val="ListParagraph"/>
        <w:numPr>
          <w:ilvl w:val="0"/>
          <w:numId w:val="4"/>
        </w:num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'IPEDSCOUNT2': 'Awards Year 2'</w:t>
      </w:r>
    </w:p>
    <w:p xmlns:wp14="http://schemas.microsoft.com/office/word/2010/wordml" w:rsidP="63D07A4B" wp14:paraId="2A5345AC" wp14:textId="32F349C7">
      <w:pPr>
        <w:pStyle w:val="ListParagraph"/>
        <w:numPr>
          <w:ilvl w:val="0"/>
          <w:numId w:val="4"/>
        </w:num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'DISTANCE': 'In Person/Online'</w:t>
      </w:r>
    </w:p>
    <w:p xmlns:wp14="http://schemas.microsoft.com/office/word/2010/wordml" w:rsidP="63D07A4B" wp14:paraId="00613E15" wp14:textId="6C8CD5EC">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Six charts were created to visualize this postsecondary education </w:t>
      </w:r>
      <w:r w:rsidRPr="63D07A4B" w:rsidR="515FB7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dataset,</w:t>
      </w: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several distinct patterns </w:t>
      </w: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emerged</w:t>
      </w: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across the different visual formats (</w:t>
      </w:r>
      <w:r w:rsidRPr="63D07A4B" w:rsidR="1908190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Using the Right Visualizations, </w:t>
      </w: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n.d.). To begin, Figure 1 shows a dendrogram that </w:t>
      </w: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establishes</w:t>
      </w: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clear </w:t>
      </w: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initial</w:t>
      </w: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breakdown of the clustered data, showing that the population naturally splits into major branches before separating into four distinct groups based on variance thresholds (</w:t>
      </w: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Cremonini</w:t>
      </w: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2023). When projecting these groups into a two-dimensional space as in Figure 2, a stark behavioral contrast is revealed: Clusters 2, 3, and 4 form tightly bound, localized, or linear bands at lower values of Principal Component 2, whereas Cluster 1 is highly fragmented and distributed widely across the upper half of the plot, indicating significantly higher internal variance. Figure 3 displays the size of each cluster, and Figure 4 is a heatmap of variance for each feature across the four clusters. Figure 5 </w:t>
      </w: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showcases</w:t>
      </w: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trendline for the Field of Study feature, and Figure 6 plots the Field of Study against the Credential Level feature in a scatter plot. Each visualization shows consistent feature behavior. For example, Figures 1 and 2 show that Cluster 1 has the greatest variance. Figures 4 and 5 both </w:t>
      </w: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demonstrate</w:t>
      </w: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that Cluster 2 holds the greatest Field of Study value.</w:t>
      </w:r>
    </w:p>
    <w:p xmlns:wp14="http://schemas.microsoft.com/office/word/2010/wordml" w:rsidP="63D07A4B" wp14:paraId="51CF31F3" wp14:textId="639C36AC">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63D07A4B" wp14:paraId="17D60370" wp14:textId="3BFA903C">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Dendrogram (Ward’s Method)</w:t>
      </w:r>
    </w:p>
    <w:p xmlns:wp14="http://schemas.microsoft.com/office/word/2010/wordml" w:rsidP="63D07A4B" wp14:paraId="38EA76D1" wp14:textId="7D8AC3A5">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19081909">
        <w:drawing>
          <wp:inline xmlns:wp14="http://schemas.microsoft.com/office/word/2010/wordprocessingDrawing" wp14:editId="3007C7D8" wp14:anchorId="62371144">
            <wp:extent cx="5943600" cy="4305300"/>
            <wp:effectExtent l="0" t="0" r="0" b="0"/>
            <wp:docPr id="1331825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1825328" name="Picture 1331825328"/>
                    <pic:cNvPicPr/>
                  </pic:nvPicPr>
                  <pic:blipFill>
                    <a:blip xmlns:r="http://schemas.openxmlformats.org/officeDocument/2006/relationships" r:embed="rId970246840">
                      <a:extLst>
                        <a:ext uri="{28A0092B-C50C-407E-A947-70E740481C1C}">
                          <a14:useLocalDpi xmlns:a14="http://schemas.microsoft.com/office/drawing/2010/main"/>
                        </a:ext>
                      </a:extLst>
                    </a:blip>
                    <a:stretch>
                      <a:fillRect/>
                    </a:stretch>
                  </pic:blipFill>
                  <pic:spPr>
                    <a:xfrm>
                      <a:off x="0" y="0"/>
                      <a:ext cx="5943600" cy="4305300"/>
                    </a:xfrm>
                    <a:prstGeom prst="rect">
                      <a:avLst/>
                    </a:prstGeom>
                  </pic:spPr>
                </pic:pic>
              </a:graphicData>
            </a:graphic>
          </wp:inline>
        </w:drawing>
      </w:r>
      <w:r w:rsidRPr="63D07A4B" w:rsidR="086ADF3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w:t>
      </w:r>
      <w:r w:rsidRPr="63D07A4B" w:rsidR="1908190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igure 2</w:t>
      </w:r>
    </w:p>
    <w:p xmlns:wp14="http://schemas.microsoft.com/office/word/2010/wordml" w:rsidP="63D07A4B" wp14:paraId="3E4C7764" wp14:textId="18223CFC">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2D PCA Scatter Plot</w:t>
      </w:r>
    </w:p>
    <w:p xmlns:wp14="http://schemas.microsoft.com/office/word/2010/wordml" w:rsidP="63D07A4B" wp14:paraId="215F46D2" wp14:textId="5A3D8B7D">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p>
    <w:p xmlns:wp14="http://schemas.microsoft.com/office/word/2010/wordml" w:rsidP="63D07A4B" wp14:paraId="0FE32DAC" wp14:textId="20203475">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19081909">
        <w:drawing>
          <wp:inline xmlns:wp14="http://schemas.microsoft.com/office/word/2010/wordprocessingDrawing" wp14:editId="25DCB4C1" wp14:anchorId="7B52D000">
            <wp:extent cx="5943600" cy="4305300"/>
            <wp:effectExtent l="0" t="0" r="0" b="0"/>
            <wp:docPr id="2937706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3770651" name="Picture 293770651"/>
                    <pic:cNvPicPr/>
                  </pic:nvPicPr>
                  <pic:blipFill>
                    <a:blip xmlns:r="http://schemas.openxmlformats.org/officeDocument/2006/relationships" r:embed="rId969582254">
                      <a:extLst>
                        <a:ext uri="{28A0092B-C50C-407E-A947-70E740481C1C}">
                          <a14:useLocalDpi xmlns:a14="http://schemas.microsoft.com/office/drawing/2010/main"/>
                        </a:ext>
                      </a:extLst>
                    </a:blip>
                    <a:stretch>
                      <a:fillRect/>
                    </a:stretch>
                  </pic:blipFill>
                  <pic:spPr>
                    <a:xfrm>
                      <a:off x="0" y="0"/>
                      <a:ext cx="5943600" cy="4305300"/>
                    </a:xfrm>
                    <a:prstGeom prst="rect">
                      <a:avLst/>
                    </a:prstGeom>
                  </pic:spPr>
                </pic:pic>
              </a:graphicData>
            </a:graphic>
          </wp:inline>
        </w:drawing>
      </w:r>
      <w:r w:rsidRPr="63D07A4B" w:rsidR="1908190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3</w:t>
      </w:r>
    </w:p>
    <w:p xmlns:wp14="http://schemas.microsoft.com/office/word/2010/wordml" w:rsidP="63D07A4B" wp14:paraId="7532F210" wp14:textId="33A115E8">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Cluster Size Bar Chart</w:t>
      </w:r>
    </w:p>
    <w:p xmlns:wp14="http://schemas.microsoft.com/office/word/2010/wordml" w:rsidP="63D07A4B" wp14:paraId="146A8B4E" wp14:textId="300C34CD">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19081909">
        <w:drawing>
          <wp:inline xmlns:wp14="http://schemas.microsoft.com/office/word/2010/wordprocessingDrawing" wp14:editId="537E3B58" wp14:anchorId="52421487">
            <wp:extent cx="5943600" cy="3848100"/>
            <wp:effectExtent l="0" t="0" r="0" b="0"/>
            <wp:docPr id="191269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269718" name="Picture 191269718"/>
                    <pic:cNvPicPr/>
                  </pic:nvPicPr>
                  <pic:blipFill>
                    <a:blip xmlns:r="http://schemas.openxmlformats.org/officeDocument/2006/relationships" r:embed="rId194690252">
                      <a:extLst>
                        <a:ext uri="{28A0092B-C50C-407E-A947-70E740481C1C}">
                          <a14:useLocalDpi xmlns:a14="http://schemas.microsoft.com/office/drawing/2010/main"/>
                        </a:ext>
                      </a:extLst>
                    </a:blip>
                    <a:stretch>
                      <a:fillRect/>
                    </a:stretch>
                  </pic:blipFill>
                  <pic:spPr>
                    <a:xfrm>
                      <a:off x="0" y="0"/>
                      <a:ext cx="5943600" cy="3848100"/>
                    </a:xfrm>
                    <a:prstGeom prst="rect">
                      <a:avLst/>
                    </a:prstGeom>
                  </pic:spPr>
                </pic:pic>
              </a:graphicData>
            </a:graphic>
          </wp:inline>
        </w:drawing>
      </w:r>
      <w:r w:rsidRPr="63D07A4B" w:rsidR="1908190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4</w:t>
      </w:r>
    </w:p>
    <w:p xmlns:wp14="http://schemas.microsoft.com/office/word/2010/wordml" w:rsidP="63D07A4B" wp14:paraId="29C70150" wp14:textId="2AB78FFB">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Feature Importance Heatmap</w:t>
      </w:r>
      <w:r w:rsidR="19081909">
        <w:drawing>
          <wp:inline xmlns:wp14="http://schemas.microsoft.com/office/word/2010/wordprocessingDrawing" wp14:editId="4EBBF536" wp14:anchorId="6356558D">
            <wp:extent cx="5943600" cy="4791075"/>
            <wp:effectExtent l="0" t="0" r="0" b="0"/>
            <wp:docPr id="856561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6561882" name="Picture 856561882"/>
                    <pic:cNvPicPr/>
                  </pic:nvPicPr>
                  <pic:blipFill>
                    <a:blip xmlns:r="http://schemas.openxmlformats.org/officeDocument/2006/relationships" r:embed="rId1022038092">
                      <a:extLst>
                        <a:ext uri="{28A0092B-C50C-407E-A947-70E740481C1C}">
                          <a14:useLocalDpi xmlns:a14="http://schemas.microsoft.com/office/drawing/2010/main"/>
                        </a:ext>
                      </a:extLst>
                    </a:blip>
                    <a:stretch>
                      <a:fillRect/>
                    </a:stretch>
                  </pic:blipFill>
                  <pic:spPr>
                    <a:xfrm>
                      <a:off x="0" y="0"/>
                      <a:ext cx="5943600" cy="4791075"/>
                    </a:xfrm>
                    <a:prstGeom prst="rect">
                      <a:avLst/>
                    </a:prstGeom>
                  </pic:spPr>
                </pic:pic>
              </a:graphicData>
            </a:graphic>
          </wp:inline>
        </w:drawing>
      </w:r>
      <w:r w:rsidRPr="63D07A4B" w:rsidR="1908190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5</w:t>
      </w:r>
    </w:p>
    <w:p xmlns:wp14="http://schemas.microsoft.com/office/word/2010/wordml" w:rsidP="63D07A4B" wp14:paraId="47E377CB" wp14:textId="4DAEC77E">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Field of Study Trend</w:t>
      </w:r>
      <w:r w:rsidR="19081909">
        <w:drawing>
          <wp:inline xmlns:wp14="http://schemas.microsoft.com/office/word/2010/wordprocessingDrawing" wp14:editId="495A2302" wp14:anchorId="752E49EF">
            <wp:extent cx="5943600" cy="3514725"/>
            <wp:effectExtent l="0" t="0" r="0" b="0"/>
            <wp:docPr id="604967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4967659" name="Picture 604967659"/>
                    <pic:cNvPicPr/>
                  </pic:nvPicPr>
                  <pic:blipFill>
                    <a:blip xmlns:r="http://schemas.openxmlformats.org/officeDocument/2006/relationships" r:embed="rId965161819">
                      <a:extLst>
                        <a:ext uri="{28A0092B-C50C-407E-A947-70E740481C1C}">
                          <a14:useLocalDpi xmlns:a14="http://schemas.microsoft.com/office/drawing/2010/main"/>
                        </a:ext>
                      </a:extLst>
                    </a:blip>
                    <a:stretch>
                      <a:fillRect/>
                    </a:stretch>
                  </pic:blipFill>
                  <pic:spPr>
                    <a:xfrm>
                      <a:off x="0" y="0"/>
                      <a:ext cx="5943600" cy="3514725"/>
                    </a:xfrm>
                    <a:prstGeom prst="rect">
                      <a:avLst/>
                    </a:prstGeom>
                  </pic:spPr>
                </pic:pic>
              </a:graphicData>
            </a:graphic>
          </wp:inline>
        </w:drawing>
      </w:r>
      <w:r w:rsidRPr="63D07A4B" w:rsidR="1908190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6</w:t>
      </w:r>
    </w:p>
    <w:p xmlns:wp14="http://schemas.microsoft.com/office/word/2010/wordml" w:rsidP="63D07A4B" wp14:paraId="248F57B7" wp14:textId="2F3E26B1">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Field of Study vs. Credential Level Heatmap</w:t>
      </w:r>
      <w:r w:rsidR="19081909">
        <w:drawing>
          <wp:inline xmlns:wp14="http://schemas.microsoft.com/office/word/2010/wordprocessingDrawing" wp14:editId="3BE6F476" wp14:anchorId="744C75AB">
            <wp:extent cx="5943600" cy="4267200"/>
            <wp:effectExtent l="0" t="0" r="0" b="0"/>
            <wp:docPr id="324828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4828987" name="Picture 324828987"/>
                    <pic:cNvPicPr/>
                  </pic:nvPicPr>
                  <pic:blipFill>
                    <a:blip xmlns:r="http://schemas.openxmlformats.org/officeDocument/2006/relationships" r:embed="rId1667900877">
                      <a:extLst>
                        <a:ext uri="{28A0092B-C50C-407E-A947-70E740481C1C}">
                          <a14:useLocalDpi xmlns:a14="http://schemas.microsoft.com/office/drawing/2010/main"/>
                        </a:ext>
                      </a:extLst>
                    </a:blip>
                    <a:stretch>
                      <a:fillRect/>
                    </a:stretch>
                  </pic:blipFill>
                  <pic:spPr>
                    <a:xfrm>
                      <a:off x="0" y="0"/>
                      <a:ext cx="5943600" cy="4267200"/>
                    </a:xfrm>
                    <a:prstGeom prst="rect">
                      <a:avLst/>
                    </a:prstGeom>
                  </pic:spPr>
                </pic:pic>
              </a:graphicData>
            </a:graphic>
          </wp:inline>
        </w:drawing>
      </w:r>
    </w:p>
    <w:p xmlns:wp14="http://schemas.microsoft.com/office/word/2010/wordml" w:rsidP="63D07A4B" wp14:paraId="0799B2D8" wp14:textId="463DC1DC">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Based on the six figures visualizing the data, some conclusions may be drawn. First, the Main/Branch Campus feature is consistent across nearly all clusters as shown in Figure 4, showing that most data points are for main campuses. Cluster 2 represents the largest segment with 370 data points in the Figure 3 chart and is heavily driven by specialized academic tracks, showing high values for Field of Study (0.88) and Credential Level (0.43). Conversely, Cluster 1 uniquely captures a high average scaled value for In Person/Online (0.74) that is entirely absent in all other clusters in Figure 4, indicating that Cluster 1 holds institutions that offer remote learning. Clusters 3 and 4 serve as core, traditional baselines that showcase a complete lack of online delivery variance, distinguishing themselves from each other primarily through Credential Level, where Cluster 3 holds a much stronger focus (0.68) than Cluster 4 (0.25).</w:t>
      </w:r>
    </w:p>
    <w:p xmlns:wp14="http://schemas.microsoft.com/office/word/2010/wordml" w:rsidP="63D07A4B" wp14:paraId="21E0F6D4" wp14:textId="6CBF1BFF">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visualizations serve as the primary tool for validating these findings by making complex, high-dimensional relationships immediately legible (Cremonini, 2023). Without specific chart elements, such as the color-coded matrix and explicit numerical values in Figure 4, it would be incredibly difficult to discern that variables like Awards Year 1 and Awards Year 2 have virtually zero statistical relevance or variance across these groups, scoring a flat 0.00 or 0.01. These insights represent contextual patterns that could not be easily extracted from a raw data table (Cremonini, 2023). For example, Figure 6 maps out the interaction to vividly illustrate how the clusters separate into distinct vertical and horizontal strata. This visual directly validates the clustering logic by showing that Cluster 4 completely dominates the lower credential tiers (0.00 to 0.30), while Cluster 3 occupies the mid-to-high tiers, proving that the mathematical partitioning aligns perfectly with real-world academic thresholds.</w:t>
      </w:r>
    </w:p>
    <w:p xmlns:wp14="http://schemas.microsoft.com/office/word/2010/wordml" w:rsidP="63D07A4B" wp14:paraId="09A1D2FC" wp14:textId="4D56B3FD">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 support the clarity of this analysis, a variety of chart types were utilized (</w:t>
      </w:r>
      <w:r w:rsidRPr="63D07A4B" w:rsidR="1908190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Using the Right Visualizations, </w:t>
      </w: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n.d.). A hierarchical dendrogram was utilized to establish the structural foundation of the segments, a 2D PCA scatter plot was selected to compress multi-variable dimensions into a scannable coordinate plane, a bar chart was used to compare total cluster populations, and a matrix heatmap was employed to translate numerical averages into color intensities (Cremonini, 2023). Every formatting decision was driven by the goal of reducing cognitive load and maximizing visual clarity (</w:t>
      </w:r>
      <w:r w:rsidRPr="63D07A4B" w:rsidR="1908190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Using the Right Visualizations, </w:t>
      </w: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n.d.). For example, the same colorblind-friendly palette was used across each plot to maintain consistency. To further enhance legibility, different point styles were used for Figures 2 and 5 to provide another cluster distinction beyond color. Each plot is clearly labeled with a title and axis labels, and discrete values are added where appropriate to eliminate axis guesswork. Finally, implementing a shaded standard deviation band around the cluster mean line in Figure 5 transparently communicates the underlying data spread.</w:t>
      </w:r>
    </w:p>
    <w:p xmlns:wp14="http://schemas.microsoft.com/office/word/2010/wordml" w:rsidP="63D07A4B" wp14:paraId="02278196" wp14:textId="4E66CD42">
      <w:pPr>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rsidP="63D07A4B" wp14:paraId="07874FFD" wp14:textId="65167FF0">
      <w:pPr>
        <w:spacing w:line="480" w:lineRule="auto"/>
        <w:rPr>
          <w:rFonts w:ascii="Times New Roman" w:hAnsi="Times New Roman" w:eastAsia="Times New Roman" w:cs="Times New Roman"/>
          <w:sz w:val="24"/>
          <w:szCs w:val="24"/>
        </w:rPr>
      </w:pPr>
      <w:r w:rsidRPr="63D07A4B">
        <w:rPr>
          <w:rFonts w:ascii="Times New Roman" w:hAnsi="Times New Roman" w:eastAsia="Times New Roman" w:cs="Times New Roman"/>
          <w:sz w:val="24"/>
          <w:szCs w:val="24"/>
        </w:rPr>
        <w:br w:type="page"/>
      </w:r>
    </w:p>
    <w:p xmlns:wp14="http://schemas.microsoft.com/office/word/2010/wordml" w:rsidP="63D07A4B" wp14:paraId="1F4408AC" wp14:textId="4559E6E2">
      <w:pPr>
        <w:pStyle w:val="Normal"/>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63D07A4B" wp14:paraId="44DD28FB" wp14:textId="53F1A62A">
      <w:pPr>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Cremonini, M. (2023). Programming in Python 3. zyBooks, a Wiley brand.</w:t>
      </w:r>
      <w:hyperlink r:id="R8b4b59b8626c43bd">
        <w:r w:rsidRPr="63D07A4B" w:rsidR="19081909">
          <w:rPr>
            <w:rStyle w:val="Hyperlink"/>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63D07A4B" w:rsidR="19081909">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https://www.zybooks.com/catalog/programming-in-python-3/</w:t>
        </w:r>
      </w:hyperlink>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(accessed 2026).</w:t>
      </w:r>
    </w:p>
    <w:p xmlns:wp14="http://schemas.microsoft.com/office/word/2010/wordml" w:rsidP="63D07A4B" wp14:paraId="0046CFD1" wp14:textId="7F70CADF">
      <w:pPr>
        <w:spacing w:before="0" w:beforeAutospacing="off" w:after="0" w:afterAutospacing="off" w:line="480" w:lineRule="auto"/>
        <w:ind w:left="720" w:hanging="720"/>
        <w:rPr>
          <w:rFonts w:ascii="Times New Roman" w:hAnsi="Times New Roman" w:eastAsia="Times New Roman" w:cs="Times New Roman"/>
          <w:sz w:val="24"/>
          <w:szCs w:val="24"/>
        </w:rPr>
      </w:pPr>
      <w:r w:rsidRPr="63D07A4B" w:rsidR="1908190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Using the Right Visualizations.</w:t>
      </w:r>
      <w:r w:rsidRPr="63D07A4B" w:rsidR="190819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(n.d.). The Definitive Guide to Dashboard Design. </w:t>
      </w:r>
      <w:hyperlink r:id="Rb224fbb669fb4e7e">
        <w:r w:rsidRPr="63D07A4B" w:rsidR="19081909">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https://www2.insightsoftware.com/dashboard-design-guide/using-the-right-visualizations/</w:t>
        </w:r>
      </w:hyperlink>
    </w:p>
    <w:p xmlns:wp14="http://schemas.microsoft.com/office/word/2010/wordml" w:rsidP="63D07A4B" wp14:paraId="59C21E2E" wp14:textId="6AEECACC">
      <w:pPr>
        <w:spacing w:line="480" w:lineRule="auto"/>
        <w:rPr>
          <w:rFonts w:ascii="Times New Roman" w:hAnsi="Times New Roman" w:eastAsia="Times New Roman" w:cs="Times New Roman"/>
          <w:sz w:val="24"/>
          <w:szCs w:val="24"/>
        </w:rPr>
      </w:pPr>
    </w:p>
    <w:p xmlns:wp14="http://schemas.microsoft.com/office/word/2010/wordml" w:rsidP="63D07A4B" wp14:paraId="2C078E63" wp14:textId="40828B1B">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49fca4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c3f81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cc1e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30011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413132"/>
    <w:rsid w:val="086ADF3E"/>
    <w:rsid w:val="19081909"/>
    <w:rsid w:val="27721FC7"/>
    <w:rsid w:val="515FB766"/>
    <w:rsid w:val="59B9C5A1"/>
    <w:rsid w:val="63D07A4B"/>
    <w:rsid w:val="7C413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39461"/>
  <w15:chartTrackingRefBased/>
  <w15:docId w15:val="{3F1643A7-6220-4E11-A3FD-040A516864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3D07A4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3D07A4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3D07A4B"/>
    <w:pPr>
      <w:spacing/>
      <w:ind w:left="720"/>
      <w:contextualSpacing/>
    </w:pPr>
  </w:style>
  <w:style w:type="character" w:styleId="Hyperlink">
    <w:uiPriority w:val="99"/>
    <w:name w:val="Hyperlink"/>
    <w:basedOn w:val="DefaultParagraphFont"/>
    <w:unhideWhenUsed/>
    <w:rsid w:val="63D07A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70246840" /><Relationship Type="http://schemas.openxmlformats.org/officeDocument/2006/relationships/image" Target="/media/image2.png" Id="rId969582254" /><Relationship Type="http://schemas.openxmlformats.org/officeDocument/2006/relationships/image" Target="/media/image3.png" Id="rId194690252" /><Relationship Type="http://schemas.openxmlformats.org/officeDocument/2006/relationships/image" Target="/media/image4.png" Id="rId1022038092" /><Relationship Type="http://schemas.openxmlformats.org/officeDocument/2006/relationships/image" Target="/media/image5.png" Id="rId965161819" /><Relationship Type="http://schemas.openxmlformats.org/officeDocument/2006/relationships/image" Target="/media/image6.png" Id="rId1667900877" /><Relationship Type="http://schemas.openxmlformats.org/officeDocument/2006/relationships/hyperlink" Target="https://www.zybooks.com/catalog/programming-in-python-3/" TargetMode="External" Id="R8b4b59b8626c43bd" /><Relationship Type="http://schemas.openxmlformats.org/officeDocument/2006/relationships/hyperlink" Target="https://www2.insightsoftware.com/dashboard-design-guide/using-the-right-visualizations/" TargetMode="External" Id="Rb224fbb669fb4e7e" /><Relationship Type="http://schemas.openxmlformats.org/officeDocument/2006/relationships/numbering" Target="numbering.xml" Id="Ree0dc575995b47b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2026-05-24T12:48:07.2847513Z</dcterms:created>
  <dcterms:modified xsi:type="dcterms:W3CDTF">2026-05-24T12:50:07.7333992Z</dcterms:modified>
  <dc:creator>Rhea, Sharie</dc:creator>
  <lastModifiedBy>Rhea, Sharie</lastModifiedBy>
</coreProperties>
</file>