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2665407" wp14:paraId="15260D44" wp14:textId="7BBA143D">
      <w:pPr>
        <w:spacing w:line="480" w:lineRule="auto"/>
        <w:rPr>
          <w:rFonts w:ascii="Times New Roman" w:hAnsi="Times New Roman" w:eastAsia="Times New Roman" w:cs="Times New Roman"/>
          <w:sz w:val="24"/>
          <w:szCs w:val="24"/>
        </w:rPr>
      </w:pPr>
    </w:p>
    <w:p xmlns:wp14="http://schemas.microsoft.com/office/word/2010/wordml" w:rsidP="42665407" wp14:paraId="20BCA2C0" wp14:textId="5C7EA30C">
      <w:pPr>
        <w:spacing w:line="480" w:lineRule="auto"/>
        <w:rPr>
          <w:rFonts w:ascii="Times New Roman" w:hAnsi="Times New Roman" w:eastAsia="Times New Roman" w:cs="Times New Roman"/>
          <w:sz w:val="24"/>
          <w:szCs w:val="24"/>
        </w:rPr>
      </w:pPr>
    </w:p>
    <w:p xmlns:wp14="http://schemas.microsoft.com/office/word/2010/wordml" w:rsidP="42665407" wp14:paraId="3F3728FF" wp14:textId="43004B9A">
      <w:pPr>
        <w:spacing w:line="480" w:lineRule="auto"/>
        <w:rPr>
          <w:rFonts w:ascii="Times New Roman" w:hAnsi="Times New Roman" w:eastAsia="Times New Roman" w:cs="Times New Roman"/>
          <w:sz w:val="24"/>
          <w:szCs w:val="24"/>
        </w:rPr>
      </w:pPr>
    </w:p>
    <w:p xmlns:wp14="http://schemas.microsoft.com/office/word/2010/wordml" w:rsidP="42665407" wp14:paraId="08C468B0" wp14:textId="17332A5B">
      <w:pPr>
        <w:spacing w:line="480" w:lineRule="auto"/>
        <w:rPr>
          <w:rFonts w:ascii="Times New Roman" w:hAnsi="Times New Roman" w:eastAsia="Times New Roman" w:cs="Times New Roman"/>
          <w:sz w:val="24"/>
          <w:szCs w:val="24"/>
        </w:rPr>
      </w:pPr>
    </w:p>
    <w:p xmlns:wp14="http://schemas.microsoft.com/office/word/2010/wordml" w:rsidP="42665407" wp14:paraId="5C6EE955" wp14:textId="4E7EA0F0">
      <w:pPr>
        <w:spacing w:line="480" w:lineRule="auto"/>
        <w:rPr>
          <w:rFonts w:ascii="Times New Roman" w:hAnsi="Times New Roman" w:eastAsia="Times New Roman" w:cs="Times New Roman"/>
          <w:sz w:val="24"/>
          <w:szCs w:val="24"/>
        </w:rPr>
      </w:pPr>
    </w:p>
    <w:p xmlns:wp14="http://schemas.microsoft.com/office/word/2010/wordml" w:rsidP="42665407" wp14:paraId="25F09CFE" wp14:textId="38E05A33">
      <w:pPr>
        <w:spacing w:line="480" w:lineRule="auto"/>
        <w:rPr>
          <w:rFonts w:ascii="Times New Roman" w:hAnsi="Times New Roman" w:eastAsia="Times New Roman" w:cs="Times New Roman"/>
          <w:sz w:val="24"/>
          <w:szCs w:val="24"/>
        </w:rPr>
      </w:pPr>
    </w:p>
    <w:p xmlns:wp14="http://schemas.microsoft.com/office/word/2010/wordml" w:rsidP="42665407" wp14:paraId="643E6221" wp14:textId="2A0CDB96">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Project 09-1: From Data to Decisions: Exploring and Presenting Meaningful Insights</w:t>
      </w:r>
    </w:p>
    <w:p xmlns:wp14="http://schemas.microsoft.com/office/word/2010/wordml" w:rsidP="42665407" wp14:paraId="51A53666" wp14:textId="61C3261C">
      <w:pPr>
        <w:spacing w:line="480" w:lineRule="auto"/>
        <w:rPr>
          <w:rFonts w:ascii="Times New Roman" w:hAnsi="Times New Roman" w:eastAsia="Times New Roman" w:cs="Times New Roman"/>
          <w:sz w:val="24"/>
          <w:szCs w:val="24"/>
        </w:rPr>
      </w:pPr>
    </w:p>
    <w:p xmlns:wp14="http://schemas.microsoft.com/office/word/2010/wordml" w:rsidP="42665407" wp14:paraId="34772009" wp14:textId="38CD995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42665407" wp14:paraId="277F004A" wp14:textId="29576B3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42665407" wp14:paraId="5DDD92C1" wp14:textId="6292720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42665407" wp14:paraId="23CEB4E8" wp14:textId="4CF81FD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42665407" wp14:paraId="3F855D49" wp14:textId="520B0EE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June 21, 2026</w:t>
      </w:r>
    </w:p>
    <w:p xmlns:wp14="http://schemas.microsoft.com/office/word/2010/wordml" w:rsidP="42665407" wp14:paraId="08CB4585" wp14:textId="2E809CFE">
      <w:pPr>
        <w:spacing w:line="480" w:lineRule="auto"/>
        <w:rPr>
          <w:rFonts w:ascii="Times New Roman" w:hAnsi="Times New Roman" w:eastAsia="Times New Roman" w:cs="Times New Roman"/>
          <w:sz w:val="24"/>
          <w:szCs w:val="24"/>
        </w:rPr>
      </w:pPr>
    </w:p>
    <w:p xmlns:wp14="http://schemas.microsoft.com/office/word/2010/wordml" w:rsidP="42665407" wp14:paraId="338D32B5" wp14:textId="47FA81B6">
      <w:pPr>
        <w:spacing w:line="480" w:lineRule="auto"/>
        <w:rPr>
          <w:rFonts w:ascii="Times New Roman" w:hAnsi="Times New Roman" w:eastAsia="Times New Roman" w:cs="Times New Roman"/>
          <w:sz w:val="24"/>
          <w:szCs w:val="24"/>
        </w:rPr>
      </w:pPr>
    </w:p>
    <w:p xmlns:wp14="http://schemas.microsoft.com/office/word/2010/wordml" w:rsidP="42665407" wp14:paraId="4F9AA4C4" wp14:textId="548CE38E">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42665407" wp14:paraId="16D5B9DC" wp14:textId="108648DA">
      <w:pPr>
        <w:spacing w:line="480" w:lineRule="auto"/>
        <w:rPr>
          <w:rFonts w:ascii="Times New Roman" w:hAnsi="Times New Roman" w:eastAsia="Times New Roman" w:cs="Times New Roman"/>
          <w:sz w:val="24"/>
          <w:szCs w:val="24"/>
        </w:rPr>
      </w:pPr>
      <w:r w:rsidRPr="42665407">
        <w:rPr>
          <w:rFonts w:ascii="Times New Roman" w:hAnsi="Times New Roman" w:eastAsia="Times New Roman" w:cs="Times New Roman"/>
          <w:sz w:val="24"/>
          <w:szCs w:val="24"/>
        </w:rPr>
        <w:br w:type="page"/>
      </w:r>
    </w:p>
    <w:p xmlns:wp14="http://schemas.microsoft.com/office/word/2010/wordml" w:rsidP="42665407" wp14:paraId="109160A9" wp14:textId="0B0CE81F">
      <w:pPr>
        <w:pStyle w:val="Normal"/>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federal employment insights presented in this analysis are derived from the U.S. Office of Personnel Management (OPM) Federal Employment Data (April 2026), while the educational and financial data were sourced from the U.S. Department of Education’s 2024–2025 College Scorecard (</w:t>
      </w:r>
      <w:r w:rsidRPr="42665407" w:rsidR="33784AD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College Scorecard Data</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2026; </w:t>
      </w:r>
      <w:r w:rsidRPr="42665407" w:rsidR="33784AD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Data Downloads</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2026). Both datasets represent authoritative, high-quality administrative records released by the United States government with an abundance of records suitable for professional analysis. However, given that the OPM data contained 64 columns and the College Scorecard dataset spanned over 3,000 attributes, extensive feature selection was required to ensure focus and clarity. By narrowing these vast repositories down to essential variables—specifically tuition costs, mean federal salaries, employee counts, and state-level geographic data—I was able to filter out noise and focus on the signals most relevant to student return on investment (ROI) and federal recruitment pipelines. The primary limitation encountered was the prevalence of REDACTED values within the OPM data, which necessitated rigorous cleaning before the data could support a reliable narrative.</w:t>
      </w:r>
    </w:p>
    <w:p xmlns:wp14="http://schemas.microsoft.com/office/word/2010/wordml" w:rsidP="42665407" wp14:paraId="407E6BA4" wp14:textId="4DDB0B42">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following narrative bridges the gap between educational investment and federal employment outcomes, addressing the distinct goals of two key stakeholder groups: prospective students and federal hiring managers. Prospective students represent the first group, characterized by their need for financial guidance. Their primary goal is to maximize their ROI by identifying educational paths that balance tuition costs with competitive federal salary potential. The secondary stakeholder group consists of federal hiring managers, who are tasked with maintaining a robust talent pipeline. Their focus is on geographic optimization—specifically identifying which regions serve as the most prolific "talent producers" for advanced degree holders. By addressing these divergent needs, this report provides actionable intelligence that allows students to make more informed career-planning decisions and empowers hiring managers to streamline their recruitment outreach.</w:t>
      </w:r>
    </w:p>
    <w:p xmlns:wp14="http://schemas.microsoft.com/office/word/2010/wordml" w:rsidP="42665407" wp14:paraId="198033B5" wp14:textId="3E81A216">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begin with Figure 1, which shows the ROI landscape for prospective students, utilizing a quadrant-based scatter plot to visualize the intersection of tuition costs and federal salary potential.</w:t>
      </w:r>
    </w:p>
    <w:p xmlns:wp14="http://schemas.microsoft.com/office/word/2010/wordml" w:rsidP="42665407" wp14:paraId="53820C08" wp14:textId="2CD68B32">
      <w:pPr>
        <w:spacing w:before="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42665407" wp14:paraId="460DC2DF" wp14:textId="3B276904">
      <w:pPr>
        <w:spacing w:before="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Where Your Degree Pays Off: ROI Quadrants</w:t>
      </w:r>
    </w:p>
    <w:p xmlns:wp14="http://schemas.microsoft.com/office/word/2010/wordml" w:rsidP="42665407" wp14:paraId="72A9DB40" wp14:textId="42027CCF">
      <w:p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33784ADD">
        <w:drawing>
          <wp:inline xmlns:wp14="http://schemas.microsoft.com/office/word/2010/wordprocessingDrawing" wp14:editId="2493B116" wp14:anchorId="351C323F">
            <wp:extent cx="5943600" cy="3543300"/>
            <wp:effectExtent l="0" t="0" r="0" b="0"/>
            <wp:docPr id="65723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23119" name="Picture 65723119"/>
                    <pic:cNvPicPr/>
                  </pic:nvPicPr>
                  <pic:blipFill>
                    <a:blip xmlns:r="http://schemas.openxmlformats.org/officeDocument/2006/relationships" r:embed="rId1517089633">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tab/>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visualization is highly effective because it simplifies complex economic variables into an intuitive decision-support tool. The “High ROI” quadrant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immediately</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conveys states (Washington D.C, Virginia, and California) with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low</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public tuition that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yield</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high federal salaries. In contrast, the red quadrant highlights low ROI states (Nebraska, Iowa, and South Dakota). If a student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desires</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seek employment in the same state in which they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pursued</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higher education, this chart allows them to instantly prioritize their education choices to ensure long-term financial health.</w:t>
      </w:r>
    </w:p>
    <w:p xmlns:wp14="http://schemas.microsoft.com/office/word/2010/wordml" w:rsidP="42665407" wp14:paraId="45845F3A" wp14:textId="45EAF16A">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Building on this, Figure 2 examines the potential career paths for new entrants, presented through a filtered view of departmental compensation.</w:t>
      </w:r>
    </w:p>
    <w:p xmlns:wp14="http://schemas.microsoft.com/office/word/2010/wordml" w:rsidP="42665407" wp14:paraId="226456CF" wp14:textId="05DAB1E3">
      <w:pPr>
        <w:spacing w:before="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42665407" wp14:paraId="76DF74EA" wp14:textId="47E4875E">
      <w:pPr>
        <w:spacing w:before="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Best and Worst Paying Federal Departments</w:t>
      </w:r>
    </w:p>
    <w:p xmlns:wp14="http://schemas.microsoft.com/office/word/2010/wordml" w:rsidP="42665407" wp14:paraId="4BFEBDA2" wp14:textId="23D20BA1">
      <w:p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33784ADD">
        <w:drawing>
          <wp:inline xmlns:wp14="http://schemas.microsoft.com/office/word/2010/wordprocessingDrawing" wp14:editId="174D7917" wp14:anchorId="5ABAD27F">
            <wp:extent cx="5943600" cy="2695575"/>
            <wp:effectExtent l="0" t="0" r="0" b="0"/>
            <wp:docPr id="1853605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605895" name="Picture 1853605895"/>
                    <pic:cNvPicPr/>
                  </pic:nvPicPr>
                  <pic:blipFill>
                    <a:blip xmlns:r="http://schemas.openxmlformats.org/officeDocument/2006/relationships" r:embed="rId2038984828">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tab/>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By isolating top- and bottom-performing departments, this box plot minimizes the cognitive load for students, allowing them to focus directly on career paths that offer the most substantial financial rewards. For hiring managers, this chart reveals which departments may require extra recruiting effort, as their financial compensation lags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behind</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standard.</w:t>
      </w:r>
    </w:p>
    <w:p xmlns:wp14="http://schemas.microsoft.com/office/word/2010/wordml" w:rsidP="42665407" wp14:paraId="30AC7D83" wp14:textId="61679EB3">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Finally, the needs of hiring managers are addressed through a graduate-level talent migration comparison illustrated in Figure 3.</w:t>
      </w:r>
    </w:p>
    <w:p xmlns:wp14="http://schemas.microsoft.com/office/word/2010/wordml" w:rsidP="42665407" wp14:paraId="47EC9652" wp14:textId="4D0F632C">
      <w:pPr>
        <w:spacing w:before="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42665407" wp14:paraId="62A097D0" wp14:textId="15B66BC2">
      <w:pPr>
        <w:spacing w:before="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Graduate Talent Migration from Education to Employment States</w:t>
      </w:r>
    </w:p>
    <w:p xmlns:wp14="http://schemas.microsoft.com/office/word/2010/wordml" w:rsidP="42665407" wp14:paraId="21F0C2A9" wp14:textId="7084E692">
      <w:p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33784ADD">
        <w:drawing>
          <wp:inline xmlns:wp14="http://schemas.microsoft.com/office/word/2010/wordprocessingDrawing" wp14:editId="7218029C" wp14:anchorId="4C8A1460">
            <wp:extent cx="5943600" cy="4686300"/>
            <wp:effectExtent l="0" t="0" r="0" b="0"/>
            <wp:docPr id="342861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861662" name="Picture 342861662"/>
                    <pic:cNvPicPr/>
                  </pic:nvPicPr>
                  <pic:blipFill>
                    <a:blip xmlns:r="http://schemas.openxmlformats.org/officeDocument/2006/relationships" r:embed="rId481595321">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r>
        <w:tab/>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bar chart comparison visualizes the geographic flow of talent, highlighting the most critical "producer" states (New York and Pennsylvania) as well as “consumer” states (Texas and Florida). This serves as a strategic roadmap for recruitment,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identifying</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where hiring managers should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concentrate</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their time and financial resources to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acquire</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highest-quality candidates. Students may also use this chart to their benefit to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identify</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potential employment opportunities or popular states to move to after obtaining a graduate degree.</w:t>
      </w:r>
    </w:p>
    <w:p xmlns:wp14="http://schemas.microsoft.com/office/word/2010/wordml" w:rsidP="42665407" wp14:paraId="140E0066" wp14:textId="1D803D7C">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maximize clarity and actionability, each visualization was intentionally customized to remove barriers between the data and the stakeholder. The quadrant partitioning used in the ROI plot transforms a standard scatter plot into a strategic diagnostic tool, removing the burden of abstract interpretation by clearly signaling which states provide the best economic value (Cremonini, 2023). Only six data points are labeled to avoid cognitive overload and show the best and worst states for ROI (Cremonini, 2023). In the departmental box plot, information reduction through filtering ensures that the student is not distracted by peripheral departments, emphasizing only the most actionable opportunities and departments to avoid. Hiring managers should view this chart as a call to action for departments that require more funding or other recruitment incentives. Lastly, the strategic annotations used in the talent pipeline map function as a visual shorthand (Cremonini, 2023). By explicitly labeling key producers and destinations in high-contrast red and blue, the visualization ensures that hiring managers can extract recruitment information at a glance, rather than being forced to manually compare regional data points. Together, these design choices transform complex, large-scale federal and educational datasets into a streamlined, narrative-driven instrument for decision-making.</w:t>
      </w:r>
    </w:p>
    <w:p xmlns:wp14="http://schemas.microsoft.com/office/word/2010/wordml" w:rsidP="42665407" wp14:paraId="1B7BAB87" wp14:textId="72AF6D69">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Together</w:t>
      </w:r>
      <w:r w:rsidRPr="42665407" w:rsidR="31981F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these charts form a narrative that concludes with specific directives tailored to each stakeholder group.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Prospective students are advised to</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prioritize states that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demonstrate</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high return on investment, such as California or Virginia, if they intend to remain within the same state for both education and career.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Regarding</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career paths, students should avoid entering the Armed Forces Retirement Home department due to current compensation structures and instead seek opportunities within the Farm Credit Administration, which offers better alignment with their salary expectations. Furthermore, for those pursuing graduate degrees,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New York</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Pennsylvania present compelling opportunities as they house a high density of educational institutions but host a comparatively smaller pool of federal employees, suggesting reduced competition. Conversely, students should be aware that moving to Florida or Texas </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remains</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popular, high-migration trend. For federal hiring managers, the data dictates an immediate shift in strategy: departments such as the Armed Forces Retirement Home and the Department of Agriculture require urgent intervention, either through increased funding for salary adjustments or the implementation of competitive recruitment incentives to attract and retain talent. Finally, hiring managers should note that New York and Pennsylvania are currently losing a significant proportion of their graduate-level talent to other states like Florida and Texas, signaling a need to bolster local recruitment efforts or offer relocation incentives to capture this mobile demographic before they migrate elsewhere.</w:t>
      </w:r>
    </w:p>
    <w:p xmlns:wp14="http://schemas.microsoft.com/office/word/2010/wordml" w:rsidP="42665407" wp14:paraId="4E91BCF2" wp14:textId="6033645B">
      <w:pPr>
        <w:spacing w:line="480" w:lineRule="auto"/>
        <w:rPr>
          <w:rFonts w:ascii="Times New Roman" w:hAnsi="Times New Roman" w:eastAsia="Times New Roman" w:cs="Times New Roman"/>
          <w:sz w:val="24"/>
          <w:szCs w:val="24"/>
        </w:rPr>
      </w:pPr>
    </w:p>
    <w:p xmlns:wp14="http://schemas.microsoft.com/office/word/2010/wordml" w:rsidP="42665407" wp14:paraId="091BB429" wp14:textId="3CAE76FE">
      <w:pPr>
        <w:spacing w:line="480" w:lineRule="auto"/>
        <w:rPr>
          <w:rFonts w:ascii="Times New Roman" w:hAnsi="Times New Roman" w:eastAsia="Times New Roman" w:cs="Times New Roman"/>
          <w:sz w:val="24"/>
          <w:szCs w:val="24"/>
        </w:rPr>
      </w:pPr>
    </w:p>
    <w:p xmlns:wp14="http://schemas.microsoft.com/office/word/2010/wordml" w:rsidP="42665407" wp14:paraId="612DEBA1" wp14:textId="27DB761B">
      <w:pPr>
        <w:spacing w:line="480" w:lineRule="auto"/>
        <w:rPr>
          <w:rFonts w:ascii="Times New Roman" w:hAnsi="Times New Roman" w:eastAsia="Times New Roman" w:cs="Times New Roman"/>
          <w:sz w:val="24"/>
          <w:szCs w:val="24"/>
        </w:rPr>
      </w:pPr>
    </w:p>
    <w:p xmlns:wp14="http://schemas.microsoft.com/office/word/2010/wordml" w:rsidP="42665407" wp14:paraId="324264B9" wp14:textId="14937C5B">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42665407" wp14:paraId="7DAD3774" wp14:textId="446F3A85">
      <w:pPr>
        <w:spacing w:line="480" w:lineRule="auto"/>
        <w:rPr>
          <w:rFonts w:ascii="Times New Roman" w:hAnsi="Times New Roman" w:eastAsia="Times New Roman" w:cs="Times New Roman"/>
          <w:sz w:val="24"/>
          <w:szCs w:val="24"/>
        </w:rPr>
      </w:pPr>
      <w:r w:rsidRPr="42665407">
        <w:rPr>
          <w:rFonts w:ascii="Times New Roman" w:hAnsi="Times New Roman" w:eastAsia="Times New Roman" w:cs="Times New Roman"/>
          <w:sz w:val="24"/>
          <w:szCs w:val="24"/>
        </w:rPr>
        <w:br w:type="page"/>
      </w:r>
    </w:p>
    <w:p xmlns:wp14="http://schemas.microsoft.com/office/word/2010/wordml" w:rsidP="42665407" wp14:paraId="1440D784" wp14:textId="6003CD7C">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42665407" wp14:paraId="2C66C4B2" wp14:textId="529364E5">
      <w:pPr>
        <w:spacing w:before="0" w:beforeAutospacing="off" w:after="0" w:afterAutospacing="off" w:line="480" w:lineRule="auto"/>
        <w:ind w:left="720" w:hanging="720"/>
        <w:rPr>
          <w:rFonts w:ascii="Times New Roman" w:hAnsi="Times New Roman" w:eastAsia="Times New Roman" w:cs="Times New Roman"/>
          <w:sz w:val="24"/>
          <w:szCs w:val="24"/>
        </w:rPr>
      </w:pPr>
      <w:r w:rsidRPr="42665407" w:rsidR="33784AD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College Scorecard Data</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(2026). ed.gov. </w:t>
      </w:r>
      <w:hyperlink r:id="R3a32830ce93b4ca9">
        <w:r w:rsidRPr="42665407" w:rsidR="33784AD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https://collegescorecard.ed.gov/data/</w:t>
        </w:r>
      </w:hyperlink>
    </w:p>
    <w:p xmlns:wp14="http://schemas.microsoft.com/office/word/2010/wordml" w:rsidP="42665407" wp14:paraId="67958515" wp14:textId="2CD85CE5">
      <w:pPr>
        <w:spacing w:before="0" w:beforeAutospacing="off" w:after="0" w:afterAutospacing="off" w:line="480" w:lineRule="auto"/>
        <w:ind w:left="720" w:hanging="720"/>
        <w:rPr>
          <w:rFonts w:ascii="Times New Roman" w:hAnsi="Times New Roman" w:eastAsia="Times New Roman" w:cs="Times New Roman"/>
          <w:sz w:val="24"/>
          <w:szCs w:val="24"/>
        </w:rPr>
      </w:pPr>
      <w:r w:rsidRPr="42665407" w:rsidR="33784ADD">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Data Downloads</w:t>
      </w: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(2026). opm.gov. </w:t>
      </w:r>
      <w:hyperlink r:id="Rc1132746b1e04821">
        <w:r w:rsidRPr="42665407" w:rsidR="33784AD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https://data.opm.gov/explore-data/data/data-downloads</w:t>
        </w:r>
      </w:hyperlink>
    </w:p>
    <w:p xmlns:wp14="http://schemas.microsoft.com/office/word/2010/wordml" w:rsidP="42665407" wp14:paraId="7E12342E" wp14:textId="60096874">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66087707909644d4">
        <w:r w:rsidRPr="42665407" w:rsidR="33784ADD">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2665407" w:rsidR="33784AD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https://www.zybooks.com/catalog/programming-in-python-3/</w:t>
        </w:r>
      </w:hyperlink>
      <w:r w:rsidRPr="42665407" w:rsidR="33784A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(accessed 2026).</w:t>
      </w:r>
    </w:p>
    <w:p xmlns:wp14="http://schemas.microsoft.com/office/word/2010/wordml" w:rsidP="42665407" wp14:paraId="3166799E" wp14:textId="1B857770">
      <w:pPr>
        <w:spacing w:line="480" w:lineRule="auto"/>
        <w:rPr>
          <w:rFonts w:ascii="Times New Roman" w:hAnsi="Times New Roman" w:eastAsia="Times New Roman" w:cs="Times New Roman"/>
          <w:sz w:val="24"/>
          <w:szCs w:val="24"/>
        </w:rPr>
      </w:pPr>
    </w:p>
    <w:p xmlns:wp14="http://schemas.microsoft.com/office/word/2010/wordml" w:rsidP="42665407" wp14:paraId="5FA81735" wp14:textId="4D578072">
      <w:pPr>
        <w:spacing w:line="480" w:lineRule="auto"/>
        <w:rPr>
          <w:rFonts w:ascii="Times New Roman" w:hAnsi="Times New Roman" w:eastAsia="Times New Roman" w:cs="Times New Roman"/>
          <w:sz w:val="24"/>
          <w:szCs w:val="24"/>
        </w:rPr>
      </w:pPr>
    </w:p>
    <w:p xmlns:wp14="http://schemas.microsoft.com/office/word/2010/wordml" w:rsidP="42665407" wp14:paraId="7E5EB9FF" wp14:textId="2450FDDF">
      <w:pPr>
        <w:spacing w:line="480" w:lineRule="auto"/>
        <w:rPr>
          <w:rFonts w:ascii="Times New Roman" w:hAnsi="Times New Roman" w:eastAsia="Times New Roman" w:cs="Times New Roman"/>
          <w:sz w:val="24"/>
          <w:szCs w:val="24"/>
        </w:rPr>
      </w:pPr>
    </w:p>
    <w:p xmlns:wp14="http://schemas.microsoft.com/office/word/2010/wordml" w:rsidP="42665407" wp14:paraId="4DA571E7" wp14:textId="4704025A">
      <w:pPr>
        <w:spacing w:line="480" w:lineRule="auto"/>
        <w:rPr>
          <w:rFonts w:ascii="Times New Roman" w:hAnsi="Times New Roman" w:eastAsia="Times New Roman" w:cs="Times New Roman"/>
          <w:sz w:val="24"/>
          <w:szCs w:val="24"/>
        </w:rPr>
      </w:pPr>
    </w:p>
    <w:p xmlns:wp14="http://schemas.microsoft.com/office/word/2010/wordml" w:rsidP="42665407" wp14:paraId="2C078E63" wp14:textId="314557B6">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167a1f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b17cf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aa8e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19E96F"/>
    <w:rsid w:val="0C5F1F6D"/>
    <w:rsid w:val="1174B0C0"/>
    <w:rsid w:val="125C8ACE"/>
    <w:rsid w:val="180F8D99"/>
    <w:rsid w:val="31981F57"/>
    <w:rsid w:val="33784ADD"/>
    <w:rsid w:val="42665407"/>
    <w:rsid w:val="7719E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3D7FB"/>
  <w15:chartTrackingRefBased/>
  <w15:docId w15:val="{B167D755-DB33-466F-B2F2-1DAC480E41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266540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2665407"/>
    <w:pPr>
      <w:spacing/>
      <w:ind w:left="720"/>
      <w:contextualSpacing/>
    </w:pPr>
  </w:style>
  <w:style w:type="character" w:styleId="Hyperlink">
    <w:uiPriority w:val="99"/>
    <w:name w:val="Hyperlink"/>
    <w:basedOn w:val="DefaultParagraphFont"/>
    <w:unhideWhenUsed/>
    <w:rsid w:val="4266540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17089633" /><Relationship Type="http://schemas.openxmlformats.org/officeDocument/2006/relationships/image" Target="/media/image2.png" Id="rId2038984828" /><Relationship Type="http://schemas.openxmlformats.org/officeDocument/2006/relationships/image" Target="/media/image3.png" Id="rId481595321" /><Relationship Type="http://schemas.openxmlformats.org/officeDocument/2006/relationships/hyperlink" Target="https://collegescorecard.ed.gov/data/" TargetMode="External" Id="R3a32830ce93b4ca9" /><Relationship Type="http://schemas.openxmlformats.org/officeDocument/2006/relationships/hyperlink" Target="https://data.opm.gov/explore-data/data/data-downloads" TargetMode="External" Id="Rc1132746b1e04821" /><Relationship Type="http://schemas.openxmlformats.org/officeDocument/2006/relationships/hyperlink" Target="https://www.zybooks.com/catalog/programming-in-python-3/" TargetMode="External" Id="R66087707909644d4" /><Relationship Type="http://schemas.openxmlformats.org/officeDocument/2006/relationships/numbering" Target="numbering.xml" Id="Rdb16f87e21354b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2026-06-21T22:08:51.8560034Z</dcterms:created>
  <dcterms:modified xsi:type="dcterms:W3CDTF">2026-06-21T22:10:26.5340784Z</dcterms:modified>
  <dc:creator>Rhea, Sharie</dc:creator>
  <lastModifiedBy>Rhea, Sharie</lastModifiedBy>
</coreProperties>
</file>