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51AA5BA" wp14:paraId="00EE58AB" wp14:textId="6AC97133">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51AA5BA" wp14:paraId="37B6BA58" wp14:textId="1D4D217D">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51AA5BA" wp14:paraId="24D47713" wp14:textId="68BE75FD">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51AA5BA" wp14:paraId="52454ADB" wp14:textId="6F6BD9C0">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51AA5BA" wp14:paraId="00B80821" wp14:textId="4058FE95">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51AA5BA" wp14:paraId="43BD982E" wp14:textId="4450A400">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51AA5BA" wp14:paraId="360A04DD" wp14:textId="472857E0">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Assignment 05-1: Document Databases and MongoDB</w:t>
      </w:r>
    </w:p>
    <w:p xmlns:wp14="http://schemas.microsoft.com/office/word/2010/wordml" w:rsidP="051AA5BA" wp14:paraId="487E7A72" wp14:textId="70D512E3">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51AA5BA" wp14:paraId="4AC15018" wp14:textId="0F66EC5D">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051AA5BA" wp14:paraId="72B4AF5B" wp14:textId="15A9D5A6">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051AA5BA" wp14:paraId="47D8C9E3" wp14:textId="291F631C">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051AA5BA" wp14:paraId="7798E06A" wp14:textId="3746021F">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051AA5BA" wp14:paraId="779E8F71" wp14:textId="1691E2AD">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May 24, 2026</w:t>
      </w:r>
    </w:p>
    <w:p xmlns:wp14="http://schemas.microsoft.com/office/word/2010/wordml" w:rsidP="051AA5BA" wp14:paraId="48C89CC3" wp14:textId="4CD09B10">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51AA5BA" wp14:paraId="68C72455" wp14:textId="14EBA1D4">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051AA5BA" wp14:paraId="54C451BF" wp14:textId="24F7BBF1">
      <w:pPr>
        <w:spacing w:line="480" w:lineRule="auto"/>
        <w:rPr>
          <w:rFonts w:ascii="Times New Roman" w:hAnsi="Times New Roman" w:eastAsia="Times New Roman" w:cs="Times New Roman" w:asciiTheme="minorAscii" w:hAnsiTheme="minorAscii" w:eastAsiaTheme="minorAscii" w:cstheme="minorAscii"/>
          <w:sz w:val="24"/>
          <w:szCs w:val="24"/>
        </w:rPr>
      </w:pPr>
      <w:r w:rsidRPr="051AA5BA">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051AA5BA" wp14:paraId="1774DB20" wp14:textId="01A227AB">
      <w:pPr>
        <w:pStyle w:val="Normal"/>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transition from relational to document-oriented databases requires a fundamental shift in how data is secured and instantiated. To begin the integration process, a new user was created within the MongoDB instance using the db.createUser() method (Giamas, 2022). This administrative step is vital for establishing role-based access control (RBAC), ensuring that the nutrition database is only accessible by authorized entities with specific privileges, such as readWrite. Following user creation, the database was instantiated by executing the first write operation. Unlike PostgreSQL, which requires a formal CREATE DATABASE command, MongoDB employs a "lazy creation" approach where the database and its constituent collections are physically initialized only when the first document is successfully inserted (Giamas, 2022). Figure 1 illustrates the successful creation of the user and the instantiation of the environment.</w:t>
      </w:r>
    </w:p>
    <w:p xmlns:wp14="http://schemas.microsoft.com/office/word/2010/wordml" w:rsidP="051AA5BA" wp14:paraId="52CED054" wp14:textId="47002EB3">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051AA5BA" wp14:paraId="743EB007" wp14:textId="009CC4A1">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User Creation</w:t>
      </w:r>
    </w:p>
    <w:p xmlns:wp14="http://schemas.microsoft.com/office/word/2010/wordml" w:rsidP="051AA5BA" wp14:paraId="408FA405" wp14:textId="29A7D772">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011839CF">
        <w:drawing>
          <wp:inline xmlns:wp14="http://schemas.microsoft.com/office/word/2010/wordprocessingDrawing" wp14:editId="6CB374C9" wp14:anchorId="40209776">
            <wp:extent cx="5943600" cy="3343275"/>
            <wp:effectExtent l="0" t="0" r="0" b="0"/>
            <wp:docPr id="2123185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185586" name="Picture 2123185586"/>
                    <pic:cNvPicPr/>
                  </pic:nvPicPr>
                  <pic:blipFill>
                    <a:blip xmlns:r="http://schemas.openxmlformats.org/officeDocument/2006/relationships" r:embed="rId75560330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The extract, transform, and load (ETL) process was executed using a combination of the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mongoimport</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utility and a custom JavaScript transformation script. During the extraction phase, raw data was pulled from the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Module_Five_Nut_Vals.json</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and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Module_Five_Nut_Descs.json</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files (U.S. Department of Agriculture, 2025). Prior to loading the raw data, each JSON file was manually cleaned to remove the top-level “TABLENAME” and braces wrapper, such as {“NUTVAL”: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so that the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jsonArray</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flag could be used during import. Because the source data represented numerical values and dates as strings, a transformation was necessary to ensure data integrity. Using the $convert operator within an aggregation pipeline, the data was cleansed by converting string-based digits into integers and doubles while managing empty strings with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onError</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null values (MongoDB, 2024). Finally, the cleaned data was loaded into the production collections,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nutrient_vals</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and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nutrient_descs</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using the $out stage to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finalize</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structural migration. The execution of the etl.sh and transform.js scripts is shown in Figure 2.</w:t>
      </w:r>
    </w:p>
    <w:p xmlns:wp14="http://schemas.microsoft.com/office/word/2010/wordml" w:rsidP="051AA5BA" wp14:paraId="0733F7C5" wp14:textId="5FA7265A">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051AA5BA" wp14:paraId="7E78B0C8" wp14:textId="020C45A1">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Extract, transform, and load script execution.</w:t>
      </w:r>
    </w:p>
    <w:p xmlns:wp14="http://schemas.microsoft.com/office/word/2010/wordml" w:rsidP="051AA5BA" wp14:paraId="666F0534" wp14:textId="663D7F01">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011839CF">
        <w:drawing>
          <wp:inline xmlns:wp14="http://schemas.microsoft.com/office/word/2010/wordprocessingDrawing" wp14:editId="3E435A37" wp14:anchorId="5D6288F4">
            <wp:extent cx="5943600" cy="3343275"/>
            <wp:effectExtent l="0" t="0" r="0" b="0"/>
            <wp:docPr id="1079247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247042" name="Picture 1079247042"/>
                    <pic:cNvPicPr/>
                  </pic:nvPicPr>
                  <pic:blipFill>
                    <a:blip xmlns:r="http://schemas.openxmlformats.org/officeDocument/2006/relationships" r:embed="rId161930078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 comprehensive audit of the imported fields reveals a diverse array of BSON datatypes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optimized</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for nutritional analysis. The Cn code and Nutrient code were identified as Int32, while the Nutrient value was typed as a Double to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maintain</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decimal precision. Descriptive fields, such as Measure description and Per unit, remain as Strings, and both Date added and Last modified were successfully converted to Date objects. These represent the expected datatypes for a nutrition-focused dataset as numeric types are essential for performing mathematical aggregations on nutrient content, and date objects are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required</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for chronological filtering, which would be impossible if the data remained in its raw string format.</w:t>
      </w:r>
    </w:p>
    <w:p xmlns:wp14="http://schemas.microsoft.com/office/word/2010/wordml" w:rsidP="051AA5BA" wp14:paraId="2E8CE3C7" wp14:textId="5053A0A9">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MongoDB manages data breakout by leveraging the hierarchical nature of BSON documents (Giamas, 2022). When the mongoimport tool is executed with the --jsonArray flag, the system iterates through the top-level array of the source JSON file and parses each nested object into an individual document. Each of these 170,544 records is assigned a unique _id (ObjectId), which serves as the primary key (Giamas, 2022). This process effectively deconstructs a monolithic data file into a granular collection of independent records. This breakout allows for efficient horizontal scaling, as individual documents can be distributed across different shards in a cluster without losing the contextual integrity of the data.</w:t>
      </w:r>
    </w:p>
    <w:p xmlns:wp14="http://schemas.microsoft.com/office/word/2010/wordml" w:rsidP="051AA5BA" wp14:paraId="2687E4EE" wp14:textId="3A887654">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To demonstrate the success of the ETL process, sentinel queries were executed using the countDocuments() method to identify records that contain valid data. This query targets the row object—the parent structure created during the import—to locate entries in the nutrient_vals collection with null or non-null Nutrient codes. For this dataset, all 170,544 nutrient value records possess a valid nutrient code. The query for records containing “cup” in the description will be addressed in assignment 05-2. Finally, the findOne() method was used to showcase the record structure for both the nutrient_descs and nutrient_vals collections in Figure 3.</w:t>
      </w:r>
    </w:p>
    <w:p xmlns:wp14="http://schemas.microsoft.com/office/word/2010/wordml" w:rsidP="051AA5BA" wp14:paraId="0BB5DBAA" wp14:textId="40ECAF48">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051AA5BA" wp14:paraId="5F1CDBAA" wp14:textId="73FD7AF9">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Record Structure</w:t>
      </w:r>
    </w:p>
    <w:p xmlns:wp14="http://schemas.microsoft.com/office/word/2010/wordml" w:rsidP="051AA5BA" wp14:paraId="51EF505E" wp14:textId="446CD709">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011839CF">
        <w:drawing>
          <wp:inline xmlns:wp14="http://schemas.microsoft.com/office/word/2010/wordprocessingDrawing" wp14:editId="68AD84D2" wp14:anchorId="7909F7BA">
            <wp:extent cx="5943600" cy="3343275"/>
            <wp:effectExtent l="0" t="0" r="0" b="0"/>
            <wp:docPr id="2009277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277043" name="Picture 2009277043"/>
                    <pic:cNvPicPr/>
                  </pic:nvPicPr>
                  <pic:blipFill>
                    <a:blip xmlns:r="http://schemas.openxmlformats.org/officeDocument/2006/relationships" r:embed="rId93366137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Comparing MongoDB and PostgreSQL reveals significant differences in data modeling, scalability, and schema flexibility. PostgreSQL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utilizes</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 rigid, tabular data model where every row must adhere to a predefined schema, making it highly consistent but difficult to alter. In contrast, MongoDB’s document model allows for polymorphic data where different documents in the same collection can have different fields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Giamas</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2022).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Regarding</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scalability, PostgreSQL typically scales vertically by increasing hardware power, while MongoDB is designed for horizontal scaling, allowing datasets to be distributed across multiple servers. While PostgreSQL enforces referential integrity through foreign keys, MongoDB prioritizes schema flexibility, allowing developers to evolve the data structure without the downtime associated with ALTER TABLE commands (</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Giamas</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2022).</w:t>
      </w:r>
    </w:p>
    <w:p xmlns:wp14="http://schemas.microsoft.com/office/word/2010/wordml" w:rsidP="051AA5BA" wp14:paraId="7DCDC31D" wp14:textId="166ED8ED">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51AA5BA" wp14:paraId="6892D370" wp14:textId="288D2E0B">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Based on the requirements of the Child Nutrition database, MongoDB is recommended as the more optimal solution. The primary justification lies in the dataset's high volume (over 170,000 records) and the potential for varied measurement descriptions that do not always fit a uniform relational mold. MongoDB’s ability to handle large-scale "read-heavy" workloads through horizontal sharding ensures better long-term performance as the USDA expands its food catalogs (U.S. Department of Agriculture, 2025). Additionally, the document-based approach simplifies the integration of hierarchical data—such as nested nutrient details—without the performance overhead of complex SQL joins. For a system intended to support dynamic dashboards and diverse food data, the flexibility and scalability of a document database provide a more sustainable architecture than a traditional relational system (U.S. Department of Agriculture, 2025).</w:t>
      </w:r>
    </w:p>
    <w:p xmlns:wp14="http://schemas.microsoft.com/office/word/2010/wordml" w:rsidP="051AA5BA" wp14:paraId="6BC702CB" wp14:textId="39A864E7">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etl.sh, transform.json, database backup, and screenshots for this assignment may be found in the module05 of the GitHub repository.</w:t>
      </w:r>
    </w:p>
    <w:p xmlns:wp14="http://schemas.microsoft.com/office/word/2010/wordml" wp14:paraId="07E6BCEF" wp14:textId="5420F365">
      <w:r>
        <w:br w:type="page"/>
      </w:r>
    </w:p>
    <w:p xmlns:wp14="http://schemas.microsoft.com/office/word/2010/wordml" w:rsidP="051AA5BA" wp14:paraId="021F35A5" wp14:textId="0F7A82D4">
      <w:pPr>
        <w:spacing w:before="280" w:beforeAutospacing="off" w:after="28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051AA5BA" wp14:paraId="7BA840DF" wp14:textId="2A69EE8E">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Giamas, A. (2022). </w:t>
      </w:r>
      <w:r w:rsidRPr="051AA5BA" w:rsidR="011839C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Mastering MongoDB 6.x - Third Edition.</w:t>
      </w:r>
    </w:p>
    <w:p xmlns:wp14="http://schemas.microsoft.com/office/word/2010/wordml" w:rsidP="051AA5BA" wp14:paraId="0632ED1C" wp14:textId="7151C72D">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‌MongoDB. (2024). </w:t>
      </w:r>
      <w:r w:rsidRPr="051AA5BA" w:rsidR="011839CF">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Manual: Aggregation Pipeline Stages.</w:t>
      </w: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hyperlink r:id="Rd38b6bdac40c4573">
        <w:r w:rsidRPr="051AA5BA" w:rsidR="011839CF">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https://www.mongodb.com/docs/manual/reference/operator/aggregation-pipeline/</w:t>
        </w:r>
      </w:hyperlink>
    </w:p>
    <w:p xmlns:wp14="http://schemas.microsoft.com/office/word/2010/wordml" w:rsidP="051AA5BA" wp14:paraId="1EBF233B" wp14:textId="64E418AB">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051AA5BA" w:rsidR="011839C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U.S. Department of Agriculture. (2025). Child nutrition database documentation. </w:t>
      </w:r>
      <w:hyperlink r:id="Rd1ee473023784c4d">
        <w:r w:rsidRPr="051AA5BA" w:rsidR="011839CF">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https://fdc.nal.usda.gov/docs/CNDB_Documentation_February_2025.pdf</w:t>
        </w:r>
      </w:hyperlink>
    </w:p>
    <w:p xmlns:wp14="http://schemas.microsoft.com/office/word/2010/wordml" w:rsidP="051AA5BA" wp14:paraId="2C55888C" wp14:textId="1A69F8FF">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51AA5BA" wp14:paraId="1AE428A8" wp14:textId="3D1798F7">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51AA5BA" wp14:paraId="2C078E63" wp14:textId="23E6FA4D">
      <w:pPr>
        <w:spacing w:line="480" w:lineRule="auto"/>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5104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761c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3B8A08"/>
    <w:rsid w:val="011839CF"/>
    <w:rsid w:val="051AA5BA"/>
    <w:rsid w:val="0D27CF26"/>
    <w:rsid w:val="6B3B8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6A207"/>
  <w15:chartTrackingRefBased/>
  <w15:docId w15:val="{C1801315-3CE3-43CA-A625-74240F9F92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51AA5B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51AA5BA"/>
    <w:pPr>
      <w:spacing/>
      <w:ind w:left="720"/>
      <w:contextualSpacing/>
    </w:pPr>
  </w:style>
  <w:style w:type="character" w:styleId="Hyperlink">
    <w:uiPriority w:val="99"/>
    <w:name w:val="Hyperlink"/>
    <w:basedOn w:val="DefaultParagraphFont"/>
    <w:unhideWhenUsed/>
    <w:rsid w:val="051AA5B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55603305" /><Relationship Type="http://schemas.openxmlformats.org/officeDocument/2006/relationships/image" Target="/media/image2.png" Id="rId1619300784" /><Relationship Type="http://schemas.openxmlformats.org/officeDocument/2006/relationships/image" Target="/media/image3.png" Id="rId933661378" /><Relationship Type="http://schemas.openxmlformats.org/officeDocument/2006/relationships/hyperlink" Target="https://www.mongodb.com/docs/manual/reference/operator/aggregation-pipeline/" TargetMode="External" Id="Rd38b6bdac40c4573" /><Relationship Type="http://schemas.openxmlformats.org/officeDocument/2006/relationships/hyperlink" Target="https://fdc.nal.usda.gov/docs/CNDB_Documentation_February_2025.pdf" TargetMode="External" Id="Rd1ee473023784c4d" /><Relationship Type="http://schemas.openxmlformats.org/officeDocument/2006/relationships/numbering" Target="numbering.xml" Id="R8f199ceba5ab4b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2026-05-24T17:17:55.5766185Z</dcterms:created>
  <dcterms:modified xsi:type="dcterms:W3CDTF">2026-05-24T17:18:53.4543184Z</dcterms:modified>
  <dc:creator>Rhea, Sharie</dc:creator>
  <lastModifiedBy>Rhea, Sharie</lastModifiedBy>
</coreProperties>
</file>