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4957555" wp14:paraId="23B7904B" wp14:textId="52A0F88B">
      <w:pPr>
        <w:spacing w:line="480" w:lineRule="auto"/>
        <w:rPr>
          <w:rFonts w:ascii="Times New Roman" w:hAnsi="Times New Roman" w:eastAsia="Times New Roman" w:cs="Times New Roman"/>
          <w:sz w:val="24"/>
          <w:szCs w:val="24"/>
        </w:rPr>
      </w:pPr>
    </w:p>
    <w:p xmlns:wp14="http://schemas.microsoft.com/office/word/2010/wordml" w:rsidP="74957555" wp14:paraId="03616984" wp14:textId="6270E69C">
      <w:pPr>
        <w:spacing w:line="480" w:lineRule="auto"/>
        <w:rPr>
          <w:rFonts w:ascii="Times New Roman" w:hAnsi="Times New Roman" w:eastAsia="Times New Roman" w:cs="Times New Roman"/>
          <w:sz w:val="24"/>
          <w:szCs w:val="24"/>
        </w:rPr>
      </w:pPr>
    </w:p>
    <w:p xmlns:wp14="http://schemas.microsoft.com/office/word/2010/wordml" w:rsidP="74957555" wp14:paraId="68659467" wp14:textId="797339CD">
      <w:pPr>
        <w:spacing w:line="480" w:lineRule="auto"/>
        <w:rPr>
          <w:rFonts w:ascii="Times New Roman" w:hAnsi="Times New Roman" w:eastAsia="Times New Roman" w:cs="Times New Roman"/>
          <w:sz w:val="24"/>
          <w:szCs w:val="24"/>
        </w:rPr>
      </w:pPr>
    </w:p>
    <w:p xmlns:wp14="http://schemas.microsoft.com/office/word/2010/wordml" w:rsidP="74957555" wp14:paraId="4A0FE40E" wp14:textId="5A69048C">
      <w:pPr>
        <w:spacing w:line="480" w:lineRule="auto"/>
        <w:rPr>
          <w:rFonts w:ascii="Times New Roman" w:hAnsi="Times New Roman" w:eastAsia="Times New Roman" w:cs="Times New Roman"/>
          <w:sz w:val="24"/>
          <w:szCs w:val="24"/>
        </w:rPr>
      </w:pPr>
    </w:p>
    <w:p xmlns:wp14="http://schemas.microsoft.com/office/word/2010/wordml" w:rsidP="74957555" wp14:paraId="793E9173" wp14:textId="01F6E578">
      <w:pPr>
        <w:spacing w:line="480" w:lineRule="auto"/>
        <w:rPr>
          <w:rFonts w:ascii="Times New Roman" w:hAnsi="Times New Roman" w:eastAsia="Times New Roman" w:cs="Times New Roman"/>
          <w:sz w:val="24"/>
          <w:szCs w:val="24"/>
        </w:rPr>
      </w:pPr>
    </w:p>
    <w:p xmlns:wp14="http://schemas.microsoft.com/office/word/2010/wordml" w:rsidP="74957555" wp14:paraId="14CF55E1" wp14:textId="634C9F9E">
      <w:pPr>
        <w:spacing w:line="480" w:lineRule="auto"/>
        <w:rPr>
          <w:rFonts w:ascii="Times New Roman" w:hAnsi="Times New Roman" w:eastAsia="Times New Roman" w:cs="Times New Roman"/>
          <w:sz w:val="24"/>
          <w:szCs w:val="24"/>
        </w:rPr>
      </w:pPr>
    </w:p>
    <w:p xmlns:wp14="http://schemas.microsoft.com/office/word/2010/wordml" w:rsidP="74957555" wp14:paraId="6A30D5B0" wp14:textId="10081641">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Paper 10-1: Ethical and Legal Considerations of AI in Databases</w:t>
      </w:r>
    </w:p>
    <w:p xmlns:wp14="http://schemas.microsoft.com/office/word/2010/wordml" w:rsidP="74957555" wp14:paraId="74013702" wp14:textId="445F2E78">
      <w:pPr>
        <w:spacing w:line="480" w:lineRule="auto"/>
        <w:rPr>
          <w:rFonts w:ascii="Times New Roman" w:hAnsi="Times New Roman" w:eastAsia="Times New Roman" w:cs="Times New Roman"/>
          <w:sz w:val="24"/>
          <w:szCs w:val="24"/>
        </w:rPr>
      </w:pPr>
    </w:p>
    <w:p xmlns:wp14="http://schemas.microsoft.com/office/word/2010/wordml" w:rsidP="74957555" wp14:paraId="2E2A76FC" wp14:textId="224FA5A6">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74957555" wp14:paraId="3A462F53" wp14:textId="7FFBB4FB">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74957555" wp14:paraId="6DAA0EFA" wp14:textId="6DA405C5">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590: Database Design and Development</w:t>
      </w:r>
    </w:p>
    <w:p xmlns:wp14="http://schemas.microsoft.com/office/word/2010/wordml" w:rsidP="74957555" wp14:paraId="1F64B0E9" wp14:textId="5BD418E6">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Zach Probst</w:t>
      </w:r>
    </w:p>
    <w:p xmlns:wp14="http://schemas.microsoft.com/office/word/2010/wordml" w:rsidP="74957555" wp14:paraId="452001B3" wp14:textId="3D1BE244">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June 28, 2026</w:t>
      </w:r>
    </w:p>
    <w:p xmlns:wp14="http://schemas.microsoft.com/office/word/2010/wordml" w:rsidP="74957555" wp14:paraId="11123414" wp14:textId="73AF5510">
      <w:pPr>
        <w:spacing w:line="480" w:lineRule="auto"/>
        <w:rPr>
          <w:rFonts w:ascii="Times New Roman" w:hAnsi="Times New Roman" w:eastAsia="Times New Roman" w:cs="Times New Roman"/>
          <w:sz w:val="24"/>
          <w:szCs w:val="24"/>
        </w:rPr>
      </w:pPr>
    </w:p>
    <w:p xmlns:wp14="http://schemas.microsoft.com/office/word/2010/wordml" w:rsidP="74957555" wp14:paraId="1BD7B56C" wp14:textId="306F9CE1">
      <w:pPr>
        <w:spacing w:line="480" w:lineRule="auto"/>
        <w:rPr>
          <w:rFonts w:ascii="Times New Roman" w:hAnsi="Times New Roman" w:eastAsia="Times New Roman" w:cs="Times New Roman"/>
          <w:sz w:val="24"/>
          <w:szCs w:val="24"/>
        </w:rPr>
      </w:pPr>
    </w:p>
    <w:p xmlns:wp14="http://schemas.microsoft.com/office/word/2010/wordml" w:rsidP="74957555" wp14:paraId="613AE27C" wp14:textId="1BCABDFA">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74957555" wp14:paraId="75B041FA" wp14:textId="626BBB5B">
      <w:pPr>
        <w:spacing w:line="480" w:lineRule="auto"/>
        <w:rPr>
          <w:rFonts w:ascii="Times New Roman" w:hAnsi="Times New Roman" w:eastAsia="Times New Roman" w:cs="Times New Roman"/>
          <w:sz w:val="24"/>
          <w:szCs w:val="24"/>
        </w:rPr>
      </w:pPr>
      <w:r w:rsidRPr="74957555">
        <w:rPr>
          <w:rFonts w:ascii="Times New Roman" w:hAnsi="Times New Roman" w:eastAsia="Times New Roman" w:cs="Times New Roman"/>
          <w:sz w:val="24"/>
          <w:szCs w:val="24"/>
        </w:rPr>
        <w:br w:type="page"/>
      </w:r>
    </w:p>
    <w:p xmlns:wp14="http://schemas.microsoft.com/office/word/2010/wordml" w:rsidP="74957555" wp14:paraId="6D02D310" wp14:textId="3B927495">
      <w:pPr>
        <w:spacing w:before="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Artificial intelligence (AI) is increasingly being leveraged within healthcare databases to streamline analytics, inform patient care, and optimize the operational efficiency of providers and businesses. While AI promises faster, more accurate decision-making, it simultaneously introduces significant ethical complications. This paper will examine these challenges through the lens of Southwestern Health (SWHC), explore the ethical dilemmas inherent in AI-driven health data, and evaluate how the Health Information Privacy and Accountability Act (HIPAA) regulations hold up against modern analytical power. Furthermore, I will outline the professional responsibilities of developers when integrating AI and reflect on the lessons learned throughout this course regarding database design and AI ethics.</w:t>
      </w:r>
    </w:p>
    <w:p xmlns:wp14="http://schemas.microsoft.com/office/word/2010/wordml" w:rsidP="74957555" wp14:paraId="136717DF" wp14:textId="70DE43A0">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One practical example of AI integration is the data-driven approach taken by Southwestern Health (SWHC). By partnering with Arcadia for data processing and analysis, SWHC aims to “enhance patient experience, improve population health, reduce costs, and improve the work life of health care providers” (Johnson, 2023). Through the use of Master Patient Indexes (MPIs), SWHC tracks patients to ensure accurate reporting and to populate dashboards with meaningful insights (Johnson, 2023). While SWHC recognizes that this "hyper-transparency" forces a necessary focus on data quality, they also emphasize that the data must be highly contextual and actionable to be truly valuable (Johnson, 2023).</w:t>
      </w:r>
    </w:p>
    <w:p xmlns:wp14="http://schemas.microsoft.com/office/word/2010/wordml" w:rsidP="74957555" wp14:paraId="29A1BF71" wp14:textId="772A19C2">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Despite the operational benefits, this reliance on AI introduces several ethical dilemmas. The first is the potential for patient harm. Because AI-derived insights are increasingly used to inform clinical decisions, there is a significant potential for fallout if an improperly tuned analytical tool misses a critical clinical detail—or worse, prioritizes healthcare provider profits over patient health. These errors are compounded by a lack of transparency. It is difficult for patients to trust a system when even the experts managing it cannot fully explain how a specific recommendation was derived. Furthermore, the potential for data misuse is staggering. Third-party analytics providers often have significant incentives to aggregate datasets from multiple sources to derive unique insights that can be sold to third-party advertising or pharmaceutical companies. Without explicit patient consent, this practice exponentially increases the risk of data exposure.</w:t>
      </w:r>
    </w:p>
    <w:p xmlns:wp14="http://schemas.microsoft.com/office/word/2010/wordml" w:rsidP="74957555" wp14:paraId="65926B1E" wp14:textId="347CE293">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HIPAA regulations, while not written to address the nuances of modern AI, remain the primary framework for data utilization. The HIPAA "de-identification" standard provides two pathways to protect privacy: expert determination, where a qualified specialist assesses the risk of re-identification, and the "Safe Harbor" method, which requires the removal of 18 specific identifiers:</w:t>
      </w:r>
    </w:p>
    <w:p xmlns:wp14="http://schemas.microsoft.com/office/word/2010/wordml" w:rsidP="74957555" wp14:paraId="1625D781" wp14:textId="3E6E2AA4">
      <w:pPr>
        <w:pStyle w:val="ListParagraph"/>
        <w:numPr>
          <w:ilvl w:val="0"/>
          <w:numId w:val="2"/>
        </w:numPr>
        <w:spacing w:before="0" w:beforeAutospacing="off" w:after="0" w:afterAutospacing="off" w:line="24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Names.</w:t>
      </w:r>
    </w:p>
    <w:p xmlns:wp14="http://schemas.microsoft.com/office/word/2010/wordml" w:rsidP="74957555" wp14:paraId="62D0C91A" wp14:textId="6B759A5A">
      <w:pPr>
        <w:pStyle w:val="ListParagraph"/>
        <w:numPr>
          <w:ilvl w:val="0"/>
          <w:numId w:val="2"/>
        </w:numPr>
        <w:spacing w:before="0" w:beforeAutospacing="off" w:after="0" w:afterAutospacing="off" w:line="24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Geographic subdivisions smaller than a state. Initial three digits of a ZIP code may be retained under certain circumstances.</w:t>
      </w:r>
    </w:p>
    <w:p xmlns:wp14="http://schemas.microsoft.com/office/word/2010/wordml" w:rsidP="74957555" wp14:paraId="4D92D23D" wp14:textId="60AC7C68">
      <w:pPr>
        <w:pStyle w:val="ListParagraph"/>
        <w:numPr>
          <w:ilvl w:val="0"/>
          <w:numId w:val="2"/>
        </w:numPr>
        <w:spacing w:before="0" w:beforeAutospacing="off" w:after="0" w:afterAutospacing="off" w:line="24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Dates (excluding year) for dates related to an individual: birth date, admission date, discharge date, death date. </w:t>
      </w:r>
    </w:p>
    <w:p xmlns:wp14="http://schemas.microsoft.com/office/word/2010/wordml" w:rsidP="74957555" wp14:paraId="435D151F" wp14:textId="01FC9A85">
      <w:pPr>
        <w:pStyle w:val="ListParagraph"/>
        <w:numPr>
          <w:ilvl w:val="0"/>
          <w:numId w:val="2"/>
        </w:numPr>
        <w:spacing w:before="0" w:beforeAutospacing="off" w:after="0" w:afterAutospacing="off" w:line="24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Telephone numbers.</w:t>
      </w:r>
    </w:p>
    <w:p xmlns:wp14="http://schemas.microsoft.com/office/word/2010/wordml" w:rsidP="74957555" wp14:paraId="0D53CDAB" wp14:textId="25EE8411">
      <w:pPr>
        <w:pStyle w:val="ListParagraph"/>
        <w:numPr>
          <w:ilvl w:val="0"/>
          <w:numId w:val="2"/>
        </w:numPr>
        <w:spacing w:before="0" w:beforeAutospacing="off" w:after="0" w:afterAutospacing="off" w:line="24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Vehicle identifiers, license plate numbers, and serial numbers.</w:t>
      </w:r>
    </w:p>
    <w:p xmlns:wp14="http://schemas.microsoft.com/office/word/2010/wordml" w:rsidP="74957555" wp14:paraId="6D0962D1" wp14:textId="378577D8">
      <w:pPr>
        <w:pStyle w:val="ListParagraph"/>
        <w:numPr>
          <w:ilvl w:val="0"/>
          <w:numId w:val="2"/>
        </w:numPr>
        <w:spacing w:before="0" w:beforeAutospacing="off" w:after="0" w:afterAutospacing="off" w:line="24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Fax numbers.</w:t>
      </w:r>
    </w:p>
    <w:p xmlns:wp14="http://schemas.microsoft.com/office/word/2010/wordml" w:rsidP="74957555" wp14:paraId="6183607F" wp14:textId="671894FE">
      <w:pPr>
        <w:pStyle w:val="ListParagraph"/>
        <w:numPr>
          <w:ilvl w:val="0"/>
          <w:numId w:val="2"/>
        </w:numPr>
        <w:spacing w:before="0" w:beforeAutospacing="off" w:after="0" w:afterAutospacing="off" w:line="24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Device identifiers and serial numbers.</w:t>
      </w:r>
    </w:p>
    <w:p xmlns:wp14="http://schemas.microsoft.com/office/word/2010/wordml" w:rsidP="74957555" wp14:paraId="208C93F2" wp14:textId="07D56F3F">
      <w:pPr>
        <w:pStyle w:val="ListParagraph"/>
        <w:numPr>
          <w:ilvl w:val="0"/>
          <w:numId w:val="2"/>
        </w:numPr>
        <w:spacing w:before="0" w:beforeAutospacing="off" w:after="0" w:afterAutospacing="off" w:line="24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Email addresses.</w:t>
      </w:r>
    </w:p>
    <w:p xmlns:wp14="http://schemas.microsoft.com/office/word/2010/wordml" w:rsidP="74957555" wp14:paraId="7DE73A01" wp14:textId="6BC49803">
      <w:pPr>
        <w:pStyle w:val="ListParagraph"/>
        <w:numPr>
          <w:ilvl w:val="0"/>
          <w:numId w:val="2"/>
        </w:numPr>
        <w:spacing w:before="0" w:beforeAutospacing="off" w:after="0" w:afterAutospacing="off" w:line="24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Web universal resource locators (URLs).</w:t>
      </w:r>
    </w:p>
    <w:p xmlns:wp14="http://schemas.microsoft.com/office/word/2010/wordml" w:rsidP="74957555" wp14:paraId="2615EF12" wp14:textId="07909C95">
      <w:pPr>
        <w:pStyle w:val="ListParagraph"/>
        <w:numPr>
          <w:ilvl w:val="0"/>
          <w:numId w:val="2"/>
        </w:numPr>
        <w:spacing w:before="0" w:beforeAutospacing="off" w:after="0" w:afterAutospacing="off" w:line="24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Social security numbers (SSNs).</w:t>
      </w:r>
    </w:p>
    <w:p xmlns:wp14="http://schemas.microsoft.com/office/word/2010/wordml" w:rsidP="74957555" wp14:paraId="2548AD77" wp14:textId="264B19F4">
      <w:pPr>
        <w:pStyle w:val="ListParagraph"/>
        <w:numPr>
          <w:ilvl w:val="0"/>
          <w:numId w:val="2"/>
        </w:numPr>
        <w:spacing w:before="0" w:beforeAutospacing="off" w:after="0" w:afterAutospacing="off" w:line="24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Internet Protocol (IP) addresses.</w:t>
      </w:r>
    </w:p>
    <w:p xmlns:wp14="http://schemas.microsoft.com/office/word/2010/wordml" w:rsidP="74957555" wp14:paraId="4587E937" wp14:textId="5A101774">
      <w:pPr>
        <w:pStyle w:val="ListParagraph"/>
        <w:numPr>
          <w:ilvl w:val="0"/>
          <w:numId w:val="2"/>
        </w:numPr>
        <w:spacing w:before="0" w:beforeAutospacing="off" w:after="0" w:afterAutospacing="off" w:line="24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Medical record numbers.</w:t>
      </w:r>
    </w:p>
    <w:p xmlns:wp14="http://schemas.microsoft.com/office/word/2010/wordml" w:rsidP="74957555" wp14:paraId="2318B9C4" wp14:textId="15B7B283">
      <w:pPr>
        <w:pStyle w:val="ListParagraph"/>
        <w:numPr>
          <w:ilvl w:val="0"/>
          <w:numId w:val="2"/>
        </w:numPr>
        <w:spacing w:before="0" w:beforeAutospacing="off" w:after="0" w:afterAutospacing="off" w:line="24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Biometric identifiers: finger and voice prints.</w:t>
      </w:r>
    </w:p>
    <w:p xmlns:wp14="http://schemas.microsoft.com/office/word/2010/wordml" w:rsidP="74957555" wp14:paraId="314A9DA8" wp14:textId="5DA22B24">
      <w:pPr>
        <w:pStyle w:val="ListParagraph"/>
        <w:numPr>
          <w:ilvl w:val="0"/>
          <w:numId w:val="2"/>
        </w:numPr>
        <w:spacing w:before="0" w:beforeAutospacing="off" w:after="0" w:afterAutospacing="off" w:line="24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Health plan beneficiary numbers.</w:t>
      </w:r>
    </w:p>
    <w:p xmlns:wp14="http://schemas.microsoft.com/office/word/2010/wordml" w:rsidP="74957555" wp14:paraId="2518813B" wp14:textId="5DB73ABB">
      <w:pPr>
        <w:pStyle w:val="ListParagraph"/>
        <w:numPr>
          <w:ilvl w:val="0"/>
          <w:numId w:val="2"/>
        </w:numPr>
        <w:spacing w:before="0" w:beforeAutospacing="off" w:after="0" w:afterAutospacing="off" w:line="24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Full-face photographs or comparable images.</w:t>
      </w:r>
    </w:p>
    <w:p xmlns:wp14="http://schemas.microsoft.com/office/word/2010/wordml" w:rsidP="74957555" wp14:paraId="07B060EE" wp14:textId="3DAEDCBF">
      <w:pPr>
        <w:pStyle w:val="ListParagraph"/>
        <w:numPr>
          <w:ilvl w:val="0"/>
          <w:numId w:val="2"/>
        </w:numPr>
        <w:spacing w:before="0" w:beforeAutospacing="off" w:after="0" w:afterAutospacing="off" w:line="24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Account numbers.</w:t>
      </w:r>
    </w:p>
    <w:p xmlns:wp14="http://schemas.microsoft.com/office/word/2010/wordml" w:rsidP="74957555" wp14:paraId="15887876" wp14:textId="4628E4D3">
      <w:pPr>
        <w:pStyle w:val="ListParagraph"/>
        <w:numPr>
          <w:ilvl w:val="0"/>
          <w:numId w:val="2"/>
        </w:numPr>
        <w:spacing w:before="0" w:beforeAutospacing="off" w:after="0" w:afterAutospacing="off" w:line="24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Any uniquely identifying number, characteristic, or code.</w:t>
      </w:r>
    </w:p>
    <w:p xmlns:wp14="http://schemas.microsoft.com/office/word/2010/wordml" w:rsidP="74957555" wp14:paraId="03B40D65" wp14:textId="3BE975D8">
      <w:pPr>
        <w:pStyle w:val="ListParagraph"/>
        <w:numPr>
          <w:ilvl w:val="0"/>
          <w:numId w:val="2"/>
        </w:numPr>
        <w:spacing w:before="0" w:beforeAutospacing="off" w:after="0" w:afterAutospacing="off" w:line="24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Certificate or license numbers.</w:t>
      </w:r>
      <w:r>
        <w:br/>
      </w:r>
    </w:p>
    <w:p xmlns:wp14="http://schemas.microsoft.com/office/word/2010/wordml" w:rsidP="74957555" wp14:paraId="3240EF56" wp14:textId="35B95C21">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Unfortunately, these guidelines are struggling to keep pace with technology. While HIPAA acknowledges that some residual risk is inevitable, it fails to account for the true analytical power of AI. Machine learning (ML) models can now re-identify 99.98% of Americans using just 15 demographic attributes–data points that Safe Harbor explicitly allows to remain in the dataset (Snyder, 2026). Because fields such as medication lists, diagnosis codes, and visit frequencies are left intact, ML models can use these "quasi-identifiers" to generate a unique digital fingerprint for any given patient (Henry, 2024; Snyder, 2026). While "expert determination" is intended to be more rigorous, it provides only a point-in-time assessment that cannot account for the dynamic, ongoing nature of computation (Henry, 2024). The primary question has shifted: "How can we safely share clinical notes when the core medical information itself enables re-identification?" (Jiang et al., 2026).</w:t>
      </w:r>
    </w:p>
    <w:p xmlns:wp14="http://schemas.microsoft.com/office/word/2010/wordml" w:rsidP="74957555" wp14:paraId="0BED9502" wp14:textId="5CC642BD">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Consequently, developers face significant legal and ethical responsibilities. It is imperative to honor the HIPAA "Minimum Necessary Standard," ensuring that only the absolute minimum amount of Protected Health Information (PHI) is exposed during operations (Murray, 2025). Because AI excels at linking fragments across disparate datasets, developers must exercise extreme caution regarding demographics, timestamps, locations, and care patterns (Murray, 2025). By adhering to frameworks like the IEEE Code of Ethics, developers must be willing to refuse unethical requirements that risk exposing patient data (IEEE, 2020).</w:t>
      </w:r>
    </w:p>
    <w:p xmlns:wp14="http://schemas.microsoft.com/office/word/2010/wordml" w:rsidP="74957555" wp14:paraId="33F26D6D" wp14:textId="39898E8B">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Reflecting on my own experience in this course, I plan to integrate my new knowledge of document and graph databases–particularly Neo4j–into my professional career. Beyond specific tools, this course has instilled in me the value of rigorous design and modeling before rushing into implementation. While I work in research where I do not handle personal health or financial information, I often manage sensitive experimental methods and techniques that require protection. To use AI tools ethically, I will remain committed to careful prompt engineering, data minimization, and rigorous validation of all results. My greatest concern remains the "black box" nature of agentic AI. Tt is alarmingly easy for such a system to silently alter a database structure or leak sensitive information through biased learning patterns. Moving forward, I will continue to prioritize transparency and design-first engineering to safeguard against these risks.</w:t>
      </w:r>
    </w:p>
    <w:p xmlns:wp14="http://schemas.microsoft.com/office/word/2010/wordml" w:rsidP="74957555" wp14:paraId="6A88345D" wp14:textId="525719B9">
      <w:pPr>
        <w:spacing w:before="280" w:beforeAutospacing="off" w:after="28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rsidP="74957555" wp14:paraId="361E4516" wp14:textId="572D6D26">
      <w:pPr>
        <w:spacing w:line="480" w:lineRule="auto"/>
        <w:rPr>
          <w:rFonts w:ascii="Times New Roman" w:hAnsi="Times New Roman" w:eastAsia="Times New Roman" w:cs="Times New Roman"/>
          <w:sz w:val="24"/>
          <w:szCs w:val="24"/>
        </w:rPr>
      </w:pPr>
      <w:r w:rsidRPr="74957555">
        <w:rPr>
          <w:rFonts w:ascii="Times New Roman" w:hAnsi="Times New Roman" w:eastAsia="Times New Roman" w:cs="Times New Roman"/>
          <w:sz w:val="24"/>
          <w:szCs w:val="24"/>
        </w:rPr>
        <w:br w:type="page"/>
      </w:r>
    </w:p>
    <w:p xmlns:wp14="http://schemas.microsoft.com/office/word/2010/wordml" w:rsidP="74957555" wp14:paraId="26B725C8" wp14:textId="18ADB502">
      <w:pPr>
        <w:pStyle w:val="Normal"/>
        <w:spacing w:before="280" w:beforeAutospacing="off" w:after="28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4957555" w:rsidR="5882F8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74957555" wp14:paraId="5D95B951" wp14:textId="44DB7BCA">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74957555" w:rsidR="2F98413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Henry, K. (2024, May 4). </w:t>
      </w:r>
      <w:r w:rsidRPr="74957555" w:rsidR="2F98413B">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HIPAA Re-Identification Explained: Requirements, Risks, and Compliance Safeguards</w:t>
      </w:r>
      <w:r w:rsidRPr="74957555" w:rsidR="2F98413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Accountable. </w:t>
      </w:r>
      <w:hyperlink r:id="Re3e8b7ce79fd4c37">
        <w:r w:rsidRPr="74957555" w:rsidR="2F98413B">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https://www.accountablehq.com/post/hipaa-re-identification-explained-requirements-risks-and-compliance-safeguards</w:t>
        </w:r>
      </w:hyperlink>
    </w:p>
    <w:p xmlns:wp14="http://schemas.microsoft.com/office/word/2010/wordml" w:rsidP="74957555" wp14:paraId="73900CFB" wp14:textId="6C5BFFC7">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74957555" w:rsidR="2F98413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IEEE. (2020). </w:t>
      </w:r>
      <w:r w:rsidRPr="74957555" w:rsidR="2F98413B">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IEEE Code of Ethics</w:t>
      </w:r>
      <w:r w:rsidRPr="74957555" w:rsidR="2F98413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Ieee.org. </w:t>
      </w:r>
      <w:hyperlink r:id="R28b090f1e7a34973">
        <w:r w:rsidRPr="74957555" w:rsidR="2F98413B">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https://www.ieee.org/about/corporate/governance/p7-8</w:t>
        </w:r>
      </w:hyperlink>
      <w:r w:rsidRPr="74957555" w:rsidR="2F98413B">
        <w:rPr>
          <w:rFonts w:ascii="Times New Roman" w:hAnsi="Times New Roman" w:eastAsia="Times New Roman" w:cs="Times New Roman"/>
          <w:sz w:val="24"/>
          <w:szCs w:val="24"/>
        </w:rPr>
        <w:t xml:space="preserve"> </w:t>
      </w:r>
    </w:p>
    <w:p xmlns:wp14="http://schemas.microsoft.com/office/word/2010/wordml" w:rsidP="74957555" wp14:paraId="2F265AFF" wp14:textId="635AFDF5">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74957555" w:rsidR="2F98413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Jiang, L. Y., Liu, X. C., Cho, K., &amp; Oermann, E. K. (2026, February). </w:t>
      </w:r>
      <w:r w:rsidRPr="74957555" w:rsidR="2F98413B">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Paradox of De-identification: A Critique of HIPAA Safe Harbour in the Age of LLMs</w:t>
      </w:r>
      <w:r w:rsidRPr="74957555" w:rsidR="2F98413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hyperlink r:id="Rabc522ffedb342f6">
        <w:r w:rsidRPr="74957555" w:rsidR="2F98413B">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https://doi.org/10.48550/arXiv.2602.08997</w:t>
        </w:r>
      </w:hyperlink>
    </w:p>
    <w:p xmlns:wp14="http://schemas.microsoft.com/office/word/2010/wordml" w:rsidP="74957555" wp14:paraId="589FDA60" wp14:textId="1D5CD0CE">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4957555" w:rsidR="2F98413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Johnson, E. (2023, May 24). </w:t>
      </w:r>
      <w:r w:rsidRPr="74957555" w:rsidR="2F98413B">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How </w:t>
      </w:r>
      <w:r w:rsidRPr="74957555" w:rsidR="2F98413B">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SWHR</w:t>
      </w:r>
      <w:r w:rsidRPr="74957555" w:rsidR="2F98413B">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w:t>
      </w:r>
      <w:r w:rsidRPr="74957555" w:rsidR="2F98413B">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uses</w:t>
      </w:r>
      <w:r w:rsidRPr="74957555" w:rsidR="2F98413B">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quality data to transform care </w:t>
      </w:r>
      <w:r w:rsidRPr="74957555" w:rsidR="2F98413B">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delivery</w:t>
      </w:r>
      <w:r w:rsidRPr="74957555" w:rsidR="2F98413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74957555" w:rsidR="2F98413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Arcadia. </w:t>
      </w:r>
      <w:hyperlink r:id="R87b0474a42b74d46">
        <w:r w:rsidRPr="74957555" w:rsidR="2F98413B">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https://arcadia.io/resources/quality-data-to-transform-care-delivery</w:t>
        </w:r>
      </w:hyperlink>
      <w:r w:rsidRPr="74957555" w:rsidR="2F98413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p xmlns:wp14="http://schemas.microsoft.com/office/word/2010/wordml" w:rsidP="74957555" wp14:paraId="26880F13" wp14:textId="60500BFC">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Murray, P. (2025, November 28). </w:t>
      </w:r>
      <w:r w:rsidRPr="74957555" w:rsidR="5882F80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Why AI Tools are a Problem for HIPAA Compliance and How Training can Help</w:t>
      </w: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HIPAA Journal. </w:t>
      </w:r>
      <w:hyperlink r:id="R38c31b4f46ad4a58">
        <w:r w:rsidRPr="74957555" w:rsidR="5882F80A">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https://www.hipaajournal.com/ai-tools-hipaa-compliance-training/</w:t>
        </w:r>
      </w:hyperlink>
    </w:p>
    <w:p xmlns:wp14="http://schemas.microsoft.com/office/word/2010/wordml" w:rsidP="74957555" wp14:paraId="657407F3" wp14:textId="6AAB08BA">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Snyder, J. (2026, May 12). </w:t>
      </w:r>
      <w:r w:rsidRPr="74957555" w:rsidR="5882F80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Re-identification risk: why HIPAA Safe Harbor is not sufficient for modern AI</w:t>
      </w: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Supertruth. </w:t>
      </w:r>
      <w:hyperlink r:id="R01c07cc1fe364078">
        <w:r w:rsidRPr="74957555" w:rsidR="5882F80A">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https://supertruth.ai/blog/re-identification-risk-why-hipaa-safe-harbor-is-not-sufficient-for-modern-ai</w:t>
        </w:r>
      </w:hyperlink>
    </w:p>
    <w:p xmlns:wp14="http://schemas.microsoft.com/office/word/2010/wordml" w:rsidP="74957555" wp14:paraId="2C078E63" wp14:textId="431491BA">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Sweeney, L., Abu, A., &amp; Winn, J. (2013). </w:t>
      </w:r>
      <w:r w:rsidRPr="74957555" w:rsidR="5882F80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Identifying</w:t>
      </w:r>
      <w:r w:rsidRPr="74957555" w:rsidR="5882F80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Participants in the Personal Genome Project by Name (A Re-identification Experiment)</w:t>
      </w:r>
      <w:r w:rsidRPr="74957555" w:rsidR="5882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hyperlink r:id="Rce391ea5e9e24eae">
        <w:r w:rsidRPr="74957555" w:rsidR="5882F80A">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https://doi.org/10.48550/arXiv.1304.7605</w:t>
        </w:r>
      </w:hyperlink>
    </w:p>
    <w:p w:rsidR="36F83893" w:rsidP="74957555" w:rsidRDefault="36F83893" w14:paraId="07D562F5" w14:textId="1C053E38">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74957555" w:rsidR="36F838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U.S. Department of HHS. (2025, February 3).</w:t>
      </w:r>
      <w:r w:rsidRPr="74957555" w:rsidR="36F83893">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Methods for De-identification of PHI</w:t>
      </w:r>
      <w:r w:rsidRPr="74957555" w:rsidR="36F838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HHS.gov. </w:t>
      </w:r>
      <w:hyperlink r:id="Rf642a939a2a244a9">
        <w:r w:rsidRPr="74957555" w:rsidR="36F83893">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https://www.hhs.gov/hipaa/for-professionals/special-topics/de-identification/index.html</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22af3e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57d7a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b214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740c2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5d3fe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9806b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7c7f0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241c9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FDA916"/>
    <w:rsid w:val="2F98413B"/>
    <w:rsid w:val="34FDA916"/>
    <w:rsid w:val="36F83893"/>
    <w:rsid w:val="4D90E00A"/>
    <w:rsid w:val="4EA45E52"/>
    <w:rsid w:val="5048E2F5"/>
    <w:rsid w:val="57012D46"/>
    <w:rsid w:val="5882F80A"/>
    <w:rsid w:val="74957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8E81C"/>
  <w15:chartTrackingRefBased/>
  <w15:docId w15:val="{823EF328-6F0A-4C20-A98E-B7E64ED4E2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495755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4957555"/>
    <w:pPr>
      <w:spacing/>
      <w:ind w:left="720"/>
      <w:contextualSpacing/>
    </w:pPr>
  </w:style>
  <w:style w:type="character" w:styleId="Hyperlink">
    <w:uiPriority w:val="99"/>
    <w:name w:val="Hyperlink"/>
    <w:basedOn w:val="DefaultParagraphFont"/>
    <w:unhideWhenUsed/>
    <w:rsid w:val="7495755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ccountablehq.com/post/hipaa-re-identification-explained-requirements-risks-and-compliance-safeguards" TargetMode="External" Id="Re3e8b7ce79fd4c37" /><Relationship Type="http://schemas.openxmlformats.org/officeDocument/2006/relationships/hyperlink" Target="https://www.ieee.org/about/corporate/governance/p7-8" TargetMode="External" Id="R28b090f1e7a34973" /><Relationship Type="http://schemas.openxmlformats.org/officeDocument/2006/relationships/hyperlink" Target="https://doi.org/10.48550/arXiv.2602.08997" TargetMode="External" Id="Rabc522ffedb342f6" /><Relationship Type="http://schemas.openxmlformats.org/officeDocument/2006/relationships/hyperlink" Target="https://arcadia.io/resources/quality-data-to-transform-care-delivery" TargetMode="External" Id="R87b0474a42b74d46" /><Relationship Type="http://schemas.openxmlformats.org/officeDocument/2006/relationships/hyperlink" Target="https://www.hipaajournal.com/ai-tools-hipaa-compliance-training/" TargetMode="External" Id="R38c31b4f46ad4a58" /><Relationship Type="http://schemas.openxmlformats.org/officeDocument/2006/relationships/hyperlink" Target="https://supertruth.ai/blog/re-identification-risk-why-hipaa-safe-harbor-is-not-sufficient-for-modern-ai" TargetMode="External" Id="R01c07cc1fe364078" /><Relationship Type="http://schemas.openxmlformats.org/officeDocument/2006/relationships/hyperlink" Target="https://doi.org/10.48550/arXiv.1304.7605" TargetMode="External" Id="Rce391ea5e9e24eae" /><Relationship Type="http://schemas.openxmlformats.org/officeDocument/2006/relationships/hyperlink" Target="https://www.hhs.gov/hipaa/for-professionals/special-topics/de-identification/index.html" TargetMode="External" Id="Rf642a939a2a244a9" /><Relationship Type="http://schemas.openxmlformats.org/officeDocument/2006/relationships/numbering" Target="numbering.xml" Id="R56c2c2e51476487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2026-06-27T18:29:55.7160094Z</dcterms:created>
  <dcterms:modified xsi:type="dcterms:W3CDTF">2026-06-27T18:33:34.8301817Z</dcterms:modified>
  <dc:creator>Rhea, Sharie</dc:creator>
  <lastModifiedBy>Rhea, Sharie</lastModifiedBy>
</coreProperties>
</file>