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F96B33" wp14:paraId="6E45B2A7" wp14:textId="6D8EF5F2">
      <w:pPr>
        <w:spacing w:line="480" w:lineRule="auto"/>
        <w:jc w:val="center"/>
        <w:rPr>
          <w:rFonts w:ascii="Times New Roman" w:hAnsi="Times New Roman" w:eastAsia="Times New Roman" w:cs="Times New Roman"/>
          <w:sz w:val="24"/>
          <w:szCs w:val="24"/>
        </w:rPr>
      </w:pPr>
    </w:p>
    <w:p xmlns:wp14="http://schemas.microsoft.com/office/word/2010/wordml" w:rsidP="55F96B33" wp14:paraId="33A48243" wp14:textId="038DC5E6">
      <w:pPr>
        <w:spacing w:line="480" w:lineRule="auto"/>
        <w:jc w:val="center"/>
        <w:rPr>
          <w:rFonts w:ascii="Times New Roman" w:hAnsi="Times New Roman" w:eastAsia="Times New Roman" w:cs="Times New Roman"/>
          <w:sz w:val="24"/>
          <w:szCs w:val="24"/>
        </w:rPr>
      </w:pPr>
    </w:p>
    <w:p xmlns:wp14="http://schemas.microsoft.com/office/word/2010/wordml" w:rsidP="55F96B33" wp14:paraId="5B8C4958" wp14:textId="5A5856A4">
      <w:pPr>
        <w:spacing w:line="480" w:lineRule="auto"/>
        <w:jc w:val="center"/>
        <w:rPr>
          <w:rFonts w:ascii="Times New Roman" w:hAnsi="Times New Roman" w:eastAsia="Times New Roman" w:cs="Times New Roman"/>
          <w:sz w:val="24"/>
          <w:szCs w:val="24"/>
        </w:rPr>
      </w:pPr>
    </w:p>
    <w:p xmlns:wp14="http://schemas.microsoft.com/office/word/2010/wordml" w:rsidP="55F96B33" wp14:paraId="3AAB4E2A" wp14:textId="62AFECE1">
      <w:pPr>
        <w:spacing w:line="480" w:lineRule="auto"/>
        <w:jc w:val="center"/>
        <w:rPr>
          <w:rFonts w:ascii="Times New Roman" w:hAnsi="Times New Roman" w:eastAsia="Times New Roman" w:cs="Times New Roman"/>
          <w:sz w:val="24"/>
          <w:szCs w:val="24"/>
        </w:rPr>
      </w:pPr>
    </w:p>
    <w:p xmlns:wp14="http://schemas.microsoft.com/office/word/2010/wordml" w:rsidP="55F96B33" wp14:paraId="233ED937" wp14:textId="1FC45E16">
      <w:pPr>
        <w:spacing w:line="480" w:lineRule="auto"/>
        <w:jc w:val="center"/>
        <w:rPr>
          <w:rFonts w:ascii="Times New Roman" w:hAnsi="Times New Roman" w:eastAsia="Times New Roman" w:cs="Times New Roman"/>
          <w:sz w:val="24"/>
          <w:szCs w:val="24"/>
        </w:rPr>
      </w:pPr>
    </w:p>
    <w:p xmlns:wp14="http://schemas.microsoft.com/office/word/2010/wordml" w:rsidP="55F96B33" wp14:paraId="39FE5221" wp14:textId="0111B70D">
      <w:pPr>
        <w:spacing w:line="480" w:lineRule="auto"/>
        <w:jc w:val="center"/>
        <w:rPr>
          <w:rFonts w:ascii="Times New Roman" w:hAnsi="Times New Roman" w:eastAsia="Times New Roman" w:cs="Times New Roman"/>
          <w:sz w:val="24"/>
          <w:szCs w:val="24"/>
        </w:rPr>
      </w:pPr>
    </w:p>
    <w:p xmlns:wp14="http://schemas.microsoft.com/office/word/2010/wordml" w:rsidP="55F96B33" wp14:paraId="3DA7AF83" wp14:textId="7661D8FE">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5F96B33" w:rsidR="58B43B9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08-1: Data Security and Privacy Regulations</w:t>
      </w:r>
    </w:p>
    <w:p xmlns:wp14="http://schemas.microsoft.com/office/word/2010/wordml" w:rsidP="55F96B33" wp14:paraId="1EC942C4" wp14:textId="3BB1A8AB">
      <w:pPr>
        <w:spacing w:line="480" w:lineRule="auto"/>
        <w:jc w:val="center"/>
        <w:rPr>
          <w:rFonts w:ascii="Times New Roman" w:hAnsi="Times New Roman" w:eastAsia="Times New Roman" w:cs="Times New Roman"/>
          <w:sz w:val="24"/>
          <w:szCs w:val="24"/>
        </w:rPr>
      </w:pPr>
    </w:p>
    <w:p xmlns:wp14="http://schemas.microsoft.com/office/word/2010/wordml" w:rsidP="55F96B33" wp14:paraId="325B5EB1" wp14:textId="4877433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58B43B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5F96B33" wp14:paraId="179F0E35" wp14:textId="54F92E1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58B43B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5F96B33" wp14:paraId="3CC532DD" wp14:textId="21E0E8A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58B43B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55F96B33" wp14:paraId="1136FEFC" wp14:textId="063DF397">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58B43B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55F96B33" wp14:paraId="3BDD3DD8" wp14:textId="4CCB728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58B43B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14, 2026</w:t>
      </w:r>
    </w:p>
    <w:p xmlns:wp14="http://schemas.microsoft.com/office/word/2010/wordml" w:rsidP="55F96B33" wp14:paraId="24C1C13B" wp14:textId="1678474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55F96B33" wp14:paraId="1C5AAC4C" wp14:textId="1F106E4A">
      <w:pPr>
        <w:spacing w:line="480" w:lineRule="auto"/>
        <w:rPr>
          <w:rFonts w:ascii="Times New Roman" w:hAnsi="Times New Roman" w:eastAsia="Times New Roman" w:cs="Times New Roman"/>
          <w:sz w:val="24"/>
          <w:szCs w:val="24"/>
        </w:rPr>
      </w:pPr>
      <w:r w:rsidRPr="55F96B33">
        <w:rPr>
          <w:rFonts w:ascii="Times New Roman" w:hAnsi="Times New Roman" w:eastAsia="Times New Roman" w:cs="Times New Roman"/>
          <w:sz w:val="24"/>
          <w:szCs w:val="24"/>
        </w:rPr>
        <w:br w:type="page"/>
      </w:r>
    </w:p>
    <w:p xmlns:wp14="http://schemas.microsoft.com/office/word/2010/wordml" w:rsidP="55F96B33" wp14:paraId="0AA262E3" wp14:textId="16269562">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With the </w:t>
      </w:r>
      <w:r w:rsidRPr="55F96B33" w:rsidR="33BF9DB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ever-increasing</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creation, storage, and transmission of personal data in day-to-day business operations, the confidentiality and integrity of information is more critical than ever before. Many data regulations dictate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minimum</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requirements for safe handling of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various types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data throughout its lifecycle. The Health Insurance Portability and Accountability Act (HIPAA) of 1996 is one such regulation that focuses on p</w:t>
      </w:r>
      <w:r w:rsidRPr="55F96B33" w:rsidR="00EFD4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rotected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health information (PHI). This United States federal law consists of a Privacy Rule and Security Rule, with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stipulations on required breach notifications and descriptions of covered entities. After detailing the specific requirements of HIPAA, this paper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applies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those regulations to database design. Following a case study of a specific breach and an analysis of its compliance failures, I provide recommendations for security protocols—using PostgreSQL as an applied example—to justify their utility.</w:t>
      </w:r>
    </w:p>
    <w:p xmlns:wp14="http://schemas.microsoft.com/office/word/2010/wordml" w:rsidP="55F96B33" wp14:paraId="7E22DF87" wp14:textId="1ED97604">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HIPAA regulations apply to covered entities and business associates. Covered entities include health care providers such as doctors and pharmacies, health plans such as company health plans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government plans like Medicare, and health care clearinghouses that may process PHI they receive from other entities (U.S. Department of Health and Human Services, 2024). Acting as third-party service providers, business associates—ranging from claims processors to legal counsel—must also adhere to stringent PHI protections (U.S. Department of Health and Human Services, 2024). It is vital that covered entities verify that their business associates will use PHI minimally, appropriately, and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comply with</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applicable sections of the Privacy and Security Rules which form the bulk of HIPAA regulations (U.S. Department of Health and Human Services, 2024). The former rule dictates that PHI must be protected in whatever form it is created, received,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 transmitted (Alder, 2024). Additionally, patients or individuals must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right to obtain a copy of their PHI, correct any errors, transfer records, and obtain a copy of disclosures to other entities (Alder, 2024).</w:t>
      </w:r>
    </w:p>
    <w:p xmlns:wp14="http://schemas.microsoft.com/office/word/2010/wordml" w:rsidP="55F96B33" wp14:paraId="3B7EADF9" wp14:textId="5D8A01F1">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Security Rule outlines best practices and recommendations for ensuring compliance with the Privacy Rule and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maintaining</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confidentiality, integrity, and availability (CIA) of PHI. General rules include the protection of data against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reasonably anticipated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threats or hazards to the CIA triad and uses or disclosures that would violate the Privacy Rule (Alder, 2024).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Security</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also outlines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number of</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Administrative, Physical, and Technical Safeguards for ensuring compliance. One Administrative Safeguard is that an organization must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designate</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HIPAA Privacy Officer who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responsible for</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understanding and implementing HIPAA policies (Alder, 2024). Risks to the privacy of PHI must be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identified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minimized to a “reasonable and appropriate level” (U.S. Department of Health and Human Services, 2024). Employees must be trained in relevant HIPAA policies and procedures for their positions, understand the severity of HIPAA violations, and have the minimum level of access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required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their duties (Alder, 2024). Protocols for the proper use and disclosure of PHI must be in place, along with methods for patients to request access to their data and report errors (U.S. Department of Health and Human Services, 2024). Additionally, an organization must have a documented contingency plan, sanction policy, and Notice of Privacy Practices (Alder, 2024). Physical Safeguards include proper facility access control, and restriction of workstations that handle PHI (Alder, 2024). Technical Safeguards differ depending on the size of an </w:t>
      </w:r>
      <w:r w:rsidRPr="55F96B33" w:rsidR="39B938F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organization but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aim to secure PHI from cyber vulnerabilities. This responsibility usually falls to the information technology (IT) team, including a designated HIPAA Security Officer (Alder, 2024). Some examples of Technical Safeguards include role-based access control, automatic logoff, encryption (for both data at rest and in transit), event and system logging, anti-virus tools, phishing awareness campaigns, regular security audits and evaluations, and proper backup procedures and storage (Alder, 2024). Every organization should consider a “security awareness training program for all members of the workforce that incorporates how to escalate security concerns and incident reporting procedures” (Alder, 2024). </w:t>
      </w:r>
    </w:p>
    <w:p xmlns:wp14="http://schemas.microsoft.com/office/word/2010/wordml" w:rsidP="55F96B33" wp14:paraId="40AC535C" wp14:textId="4C9188CB">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Even with robust safeguards, human and technical errors occur. Consequently, HIPAA mandates strict protocols for </w:t>
      </w:r>
      <w:bookmarkStart w:name="_Int_vIIdE17a" w:id="355594515"/>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breach</w:t>
      </w:r>
      <w:bookmarkEnd w:id="355594515"/>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notifications to ensure transparency and harm mitigation. Not every incident is reportable, and an investigation must be made for each potential breach. For example, unauthorized access to a database is always a security breach, but if PHI was encrypted, undecipherable, and unusable then it may not constitute a HIPAA violation (Alder, 2024). For true violations affecting more than 500 individuals a report must be made within 60 calendar days of the event (U.S. Department of Health and Human Services, 2024). For fewer than 500 individuals, organizations may choose to wait until up to 60 days past the end of the calendar year in which the breach was discovered (U.S. Department of Health and Human Services, 2024). HIPAA also specifies that individuals must be notified by first-class mail (or email if they have opted for electronic notices) (U.S. Department of Health and Human Services, 2024).</w:t>
      </w:r>
    </w:p>
    <w:p xmlns:wp14="http://schemas.microsoft.com/office/word/2010/wordml" w:rsidP="55F96B33" wp14:paraId="41D7E79E" wp14:textId="0B7503DD">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the context of database design, there are a number of considerations for HIPAA compliance. The first step is to perform a risk analysis to identify potential vulnerabilities, which should be repeated on a regular basis, especially when the volume of stored PHI changes (Mohan, 2024). Intrusion detection and prevention systems are a standard security practice that is even more important when storing PHI (IBM, 2021). All employees must be educated on proper HIPAA compliance as well as the current security landscape, including recognizing phishing attacks and social engineering (Mohan, 2024). It is critical to encrypt production databases as encryption is the last line of defense for confidential PHI if systems should be breached (Mohan, 2024). Organizations should implement strong access controls, both physical and logical, to ensure the principle of least privilege is adhered to. These access controls ensure that only individuals with proper authentication and authorization may view and process PHI. As required by HIPAA regulations, organizations must have a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backup and disaster recovery plan, as well as regular system and event logging (Mohan, 2024). In fact, backups are often targeted more frequently than current production systems because they are commonly more vulnerable (IBM, 2021). Finally, regularly disposing of outdated PHI is critical for reducing the volume of desirable data that threat actors may target (Mohan, 2024).</w:t>
      </w:r>
    </w:p>
    <w:p xmlns:wp14="http://schemas.microsoft.com/office/word/2010/wordml" w:rsidP="55F96B33" wp14:paraId="6E019F8C" wp14:textId="32513600">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Unfortunately, many organizations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fail to</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adhere to HIPAA regulations and experience breaches, violations, and </w:t>
      </w:r>
      <w:r w:rsidRPr="55F96B33" w:rsidR="0C0EE12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ultimately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penalties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One recent example involves Archer Health Inc., a home health provider based in California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‌(Notice of Data Privacy Incident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An independent cybersecurity researcher, Jeremiah Fowler, discovered a public-facing database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containing</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almost 150 thousand files–23.7GB of data–that was not password</w:t>
      </w:r>
      <w:r w:rsidRPr="55F96B33" w:rsidR="75EF92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protected (Fowler, 2025). This database held medical documents including patient names, addresses, phone numbers, and medical documents detailing health conditions, treatments, social security numbers, and internal ID numbers (Fowler, 2025). Archer Health Inc. became aware of the incident on September 7, 2025, after Fowler sent a responsible disclosure notice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(Notice of Data Privacy Incident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According to Fowler, public access to the database was removed within hours, but it is impossible to say how long it was exposed (Alder, 2025; Fowler, 2025). Archer Health Inc. released a statement on their website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stating</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 database belonged to and was managed by a third-party IT service provider with whom they ended their relationship due to the incident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(Notice of Data Privacy Incident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accordance with</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HIPAA breach notification requirements, Archer Health Inc. mailed notices to the 4,285 affected individuals and provided a toll-free call center for those with questions as well as free identity monitoring services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(Notice of Data Privacy Incident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2025). Health information is an exceptionally lucrative target for attackers, as these records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permanent, immutable identifiers—unlike credit card numbers, which can be canceled and reissued (Fowler, 2025). The Archer Health incident serves as a textbook failure of the Administrative Safeguards requirement, as the organization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failed to</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vet the security posture of their business associate effectively. The IT provider itself blatantly disregarded the HIPAA Security Rule. First, the database was publicly facing and not password-protected, which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lack of proper access controls and security audits. Second, the files were completely unencrypted and even included PHI in filenames, which is a bad security practice (Fowler, 2025). Finally, it is unlikely that the organization's employees were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properly trained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HIPAA compliance, as someone would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likely have</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brought up concerns about following regulations. While Archer Health Inc. attempts to divert some blame towards their IT service provider, it should be noted that Archer Health Inc. holds the responsibility for ensuring their Business Associates uphold HIPAA regulations. </w:t>
      </w:r>
    </w:p>
    <w:p xmlns:wp14="http://schemas.microsoft.com/office/word/2010/wordml" w:rsidP="55F96B33" wp14:paraId="7D24056E" wp14:textId="5F2A8F53">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There are many security techniques and protocols that could have prevented Archer Health Inc.’s HIPAA violations. While the underlying architecture of the Archer Health database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undisclosed, PostgreSQL provides an ideal framework for illustrating the necessary security hardening. First, PostgreSQL offers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various options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encrypting data. Individual columns may be encrypted with the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pgcrypto</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module</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the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pg_hba.conf</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file can be used to require secure socket layer (SSL) connections that encrypt data across a network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Encryption Options,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2023). Storage encryption depends on the host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system, but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may be performed at the file system or block level with utilities such as Linux’s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eCryptfs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Encryption Options,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2023). In some cases</w:t>
      </w:r>
      <w:r w:rsidRPr="55F96B33" w:rsidR="7DB336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even the system administrator may not be trusted, which may require client-side encryption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Encryption Options,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2023). In the context of Archer Health Inc., encryption would have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greatly reduced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scope of harm, as the PHI would have been undecipherable and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rendered</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useless. A production database should never be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public-facing</w:t>
      </w:r>
      <w:r w:rsidRPr="55F96B33" w:rsidR="2E6B9A7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R</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ather, a TCP/IP socket should be used for account-based connection and the database protected by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firewall</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limits access to internal or business networks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How to Secure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PostgreSQL?</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Users with access should hold </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appropriate database</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roles. For example, most users do not need the ability to create new databases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How to Secure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PostgreSQL?</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PostgreSQL even provides row-level security, which can limit visibility to users with specific permissions on a fine-grain basis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How to Secure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PostgreSQL?</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In the context of Archer Health Inc., incorporating proper user accounts and roles with strong passwords, removing the database from public networks, and applying access control lists would have prevented Fowler from discovering the database in the first place</w:t>
      </w:r>
      <w:r w:rsidRPr="55F96B33" w:rsidR="3415BB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55F96B33" w:rsidR="3415BB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retrieving</w:t>
      </w:r>
      <w:r w:rsidRPr="55F96B33" w:rsidR="3415BB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sensitive records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In the future, the organization is likely to be much more proactive in performing security audits, carefully reviewing their third-party providers, and protecting their customers’ PHI.</w:t>
      </w:r>
    </w:p>
    <w:p xmlns:wp14="http://schemas.microsoft.com/office/word/2010/wordml" w:rsidP="55F96B33" wp14:paraId="5C1FA254" wp14:textId="11FE91F7">
      <w:pPr>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55F96B33" wp14:paraId="289A7D4A" wp14:textId="1F1841CB">
      <w:pPr>
        <w:spacing w:line="480" w:lineRule="auto"/>
        <w:rPr>
          <w:rFonts w:ascii="Times New Roman" w:hAnsi="Times New Roman" w:eastAsia="Times New Roman" w:cs="Times New Roman"/>
          <w:sz w:val="24"/>
          <w:szCs w:val="24"/>
        </w:rPr>
      </w:pPr>
      <w:r w:rsidRPr="55F96B33">
        <w:rPr>
          <w:rFonts w:ascii="Times New Roman" w:hAnsi="Times New Roman" w:eastAsia="Times New Roman" w:cs="Times New Roman"/>
          <w:sz w:val="24"/>
          <w:szCs w:val="24"/>
        </w:rPr>
        <w:br w:type="page"/>
      </w:r>
    </w:p>
    <w:p xmlns:wp14="http://schemas.microsoft.com/office/word/2010/wordml" w:rsidP="55F96B33" wp14:paraId="58FACC41" wp14:textId="653823B8">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5F96B33" w:rsidR="2F7AA18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5F96B33" wp14:paraId="01B35420" wp14:textId="07DE8DA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Alder, S. (2024, December 2).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HIPAA Compliance Checklist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HIPAA Journal. </w:t>
      </w:r>
      <w:hyperlink r:id="Ra2a03633bc484f76">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https://www.hipaajournal.com/hipaa-compliance-checklist/</w:t>
        </w:r>
      </w:hyperlink>
    </w:p>
    <w:p xmlns:wp14="http://schemas.microsoft.com/office/word/2010/wordml" w:rsidP="55F96B33" wp14:paraId="09D1C5DF" wp14:textId="2F46448D">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Alder, S. (2025, September 26).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Security Researcher Identifies Exposed 150,000-record Home Health Care Database</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HIPAA Journal. </w:t>
      </w:r>
      <w:hyperlink r:id="R1f9215361cab4049">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https://www.hipaajournal.com/home-health-care-database-exposed-online/</w:t>
        </w:r>
      </w:hyperlink>
    </w:p>
    <w:p xmlns:wp14="http://schemas.microsoft.com/office/word/2010/wordml" w:rsidP="55F96B33" wp14:paraId="7BCE9BA1" wp14:textId="6525C76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Encryption Options.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(2023, May 11). PostgreSQL Documentation. </w:t>
      </w:r>
      <w:hyperlink r:id="R2b099760de8e4c90">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https://www.postgresql.org/docs/current/encryption-options.html</w:t>
        </w:r>
      </w:hyperlink>
    </w:p>
    <w:p xmlns:wp14="http://schemas.microsoft.com/office/word/2010/wordml" w:rsidP="55F96B33" wp14:paraId="5A998DFE" wp14:textId="1741AC21">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Fowler, J. (2025, September 25).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Home Healthcare Provider Exposed Nearly 150,000 Records Containing Patient Health Information</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Website Planet. </w:t>
      </w:r>
      <w:hyperlink r:id="R20ff6f5f01df4e9d">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https://www.websiteplanet.com/news/archer-health-breach-report/</w:t>
        </w:r>
      </w:hyperlink>
    </w:p>
    <w:p xmlns:wp14="http://schemas.microsoft.com/office/word/2010/wordml" w:rsidP="55F96B33" wp14:paraId="30570F67" wp14:textId="2AC98CB7">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How to Secure PostgreSQL?</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EDB. </w:t>
      </w:r>
      <w:hyperlink r:id="R8ac0d1d0300247a9">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https://www.enterprisedb.com/blog/how-to-secure-postgresql-security-hardening-best-practices-checklist-tips-encryption-authentication-vulnerabilities</w:t>
        </w:r>
      </w:hyperlink>
    </w:p>
    <w:p xmlns:wp14="http://schemas.microsoft.com/office/word/2010/wordml" w:rsidP="55F96B33" wp14:paraId="0635B52A" wp14:textId="3D67CBA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‌IBM. (2021). Database security. IBM. </w:t>
      </w:r>
      <w:hyperlink r:id="R9fd59e621c46498f">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https://www.ibm.com/think/topics/database-security</w:t>
        </w:r>
      </w:hyperlink>
    </w:p>
    <w:p xmlns:wp14="http://schemas.microsoft.com/office/word/2010/wordml" w:rsidP="55F96B33" wp14:paraId="70F5F63C" wp14:textId="4D405231">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Mohan, V. (2024, October).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HIPAA Compliant Database: How to Automate the Process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Sprinto. </w:t>
      </w:r>
      <w:hyperlink r:id="R6ceda68599d546f5">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https://sprinto.com/blog/hipaa/compliant-database/</w:t>
        </w:r>
      </w:hyperlink>
    </w:p>
    <w:p xmlns:wp14="http://schemas.microsoft.com/office/word/2010/wordml" w:rsidP="55F96B33" wp14:paraId="2B70ADF0" wp14:textId="00E130D7">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‌Notice of Data Privacy Incident</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(2017). Archer Health Inc. </w:t>
      </w:r>
      <w:hyperlink r:id="R63e485947a6340d8">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https://archerhealthinc.com/notice-of-data-privacy-incident/</w:t>
        </w:r>
      </w:hyperlink>
    </w:p>
    <w:p xmlns:wp14="http://schemas.microsoft.com/office/word/2010/wordml" w:rsidP="55F96B33" wp14:paraId="5CF21230" wp14:textId="3EDA465B">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 Department of Health and Human Services. (2024, July 19). </w:t>
      </w:r>
      <w:r w:rsidRPr="55F96B33" w:rsidR="2F7AA18E">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HIPAA For Professionals</w:t>
      </w:r>
      <w:r w:rsidRPr="55F96B33" w:rsidR="2F7AA1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 Department of Health and Human Services. </w:t>
      </w:r>
      <w:hyperlink r:id="R6aae26251ed24f48">
        <w:r w:rsidRPr="55F96B33" w:rsidR="2F7AA18E">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https://www.hhs.gov/hipaa/for-professionals/index.html</w:t>
        </w:r>
      </w:hyperlink>
    </w:p>
    <w:p xmlns:wp14="http://schemas.microsoft.com/office/word/2010/wordml" w:rsidP="55F96B33" wp14:paraId="2C078E63" wp14:textId="72300B6E">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vIIdE17a" int2:invalidationBookmarkName="" int2:hashCode="qPMWxB68xtAmdo" int2:id="PzPD9ErK">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CDB7C7"/>
    <w:rsid w:val="00EFD404"/>
    <w:rsid w:val="0393D935"/>
    <w:rsid w:val="0C0EE122"/>
    <w:rsid w:val="0DF272A4"/>
    <w:rsid w:val="1ACDB7C7"/>
    <w:rsid w:val="22505B7E"/>
    <w:rsid w:val="2708E27F"/>
    <w:rsid w:val="2E6B9A74"/>
    <w:rsid w:val="2F7AA18E"/>
    <w:rsid w:val="33BF9DB5"/>
    <w:rsid w:val="3415BB10"/>
    <w:rsid w:val="39818403"/>
    <w:rsid w:val="39B938FA"/>
    <w:rsid w:val="4505B77A"/>
    <w:rsid w:val="4AD209D8"/>
    <w:rsid w:val="53673A87"/>
    <w:rsid w:val="55F96B33"/>
    <w:rsid w:val="58B43B9E"/>
    <w:rsid w:val="75EF9227"/>
    <w:rsid w:val="7DB33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D546"/>
  <w15:chartTrackingRefBased/>
  <w15:docId w15:val="{64585C18-C234-47A2-9845-5DCFFEE591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5F96B3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hipaajournal.com/hipaa-compliance-checklist/" TargetMode="External" Id="Ra2a03633bc484f76" /><Relationship Type="http://schemas.openxmlformats.org/officeDocument/2006/relationships/hyperlink" Target="https://www.hipaajournal.com/home-health-care-database-exposed-online/" TargetMode="External" Id="R1f9215361cab4049" /><Relationship Type="http://schemas.openxmlformats.org/officeDocument/2006/relationships/hyperlink" Target="https://www.postgresql.org/docs/current/encryption-options.html" TargetMode="External" Id="R2b099760de8e4c90" /><Relationship Type="http://schemas.openxmlformats.org/officeDocument/2006/relationships/hyperlink" Target="https://www.websiteplanet.com/news/archer-health-breach-report/" TargetMode="External" Id="R20ff6f5f01df4e9d" /><Relationship Type="http://schemas.openxmlformats.org/officeDocument/2006/relationships/hyperlink" Target="https://www.enterprisedb.com/blog/how-to-secure-postgresql-security-hardening-best-practices-checklist-tips-encryption-authentication-vulnerabilities" TargetMode="External" Id="R8ac0d1d0300247a9" /><Relationship Type="http://schemas.openxmlformats.org/officeDocument/2006/relationships/hyperlink" Target="https://www.ibm.com/think/topics/database-security" TargetMode="External" Id="R9fd59e621c46498f" /><Relationship Type="http://schemas.openxmlformats.org/officeDocument/2006/relationships/hyperlink" Target="https://sprinto.com/blog/hipaa/compliant-database/" TargetMode="External" Id="R6ceda68599d546f5" /><Relationship Type="http://schemas.openxmlformats.org/officeDocument/2006/relationships/hyperlink" Target="https://archerhealthinc.com/notice-of-data-privacy-incident/" TargetMode="External" Id="R63e485947a6340d8" /><Relationship Type="http://schemas.openxmlformats.org/officeDocument/2006/relationships/hyperlink" Target="https://www.hhs.gov/hipaa/for-professionals/index.html" TargetMode="External" Id="R6aae26251ed24f48" /><Relationship Type="http://schemas.microsoft.com/office/2020/10/relationships/intelligence" Target="intelligence2.xml" Id="Rfb5fcfe0571a42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2026-06-13T20:23:57.2826919Z</dcterms:created>
  <dcterms:modified xsi:type="dcterms:W3CDTF">2026-06-13T20:30:49.6223320Z</dcterms:modified>
  <dc:creator>Rhea, Sharie</dc:creator>
  <lastModifiedBy>Rhea, Sharie</lastModifiedBy>
</coreProperties>
</file>