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CEDDB5" wp14:paraId="11551E9E" wp14:textId="6D404066">
      <w:pPr>
        <w:spacing w:line="480" w:lineRule="auto"/>
      </w:pPr>
    </w:p>
    <w:p xmlns:wp14="http://schemas.microsoft.com/office/word/2010/wordml" w:rsidP="32CEDDB5" wp14:paraId="71030EE3" wp14:textId="40758649">
      <w:pPr>
        <w:spacing w:line="480" w:lineRule="auto"/>
      </w:pPr>
    </w:p>
    <w:p xmlns:wp14="http://schemas.microsoft.com/office/word/2010/wordml" w:rsidP="32CEDDB5" wp14:paraId="46E30946" wp14:textId="0332795B">
      <w:pPr>
        <w:spacing w:line="480" w:lineRule="auto"/>
      </w:pPr>
    </w:p>
    <w:p xmlns:wp14="http://schemas.microsoft.com/office/word/2010/wordml" w:rsidP="32CEDDB5" wp14:paraId="27C22163" wp14:textId="71C8C0C8">
      <w:pPr>
        <w:spacing w:line="480" w:lineRule="auto"/>
      </w:pPr>
    </w:p>
    <w:p xmlns:wp14="http://schemas.microsoft.com/office/word/2010/wordml" w:rsidP="32CEDDB5" wp14:paraId="1C87326E" wp14:textId="16A67F0D">
      <w:pPr>
        <w:spacing w:line="480" w:lineRule="auto"/>
      </w:pPr>
    </w:p>
    <w:p xmlns:wp14="http://schemas.microsoft.com/office/word/2010/wordml" w:rsidP="32CEDDB5" wp14:paraId="0A8A8739" wp14:textId="4D264720">
      <w:pPr>
        <w:spacing w:line="480" w:lineRule="auto"/>
      </w:pPr>
    </w:p>
    <w:p xmlns:wp14="http://schemas.microsoft.com/office/word/2010/wordml" w:rsidP="32CEDDB5" wp14:paraId="069B9FEC" wp14:textId="79BBCFBE">
      <w:pPr>
        <w:spacing w:before="0" w:beforeAutospacing="off" w:after="0" w:afterAutospacing="off" w:line="480" w:lineRule="auto"/>
        <w:ind w:left="720" w:right="0"/>
        <w:jc w:val="center"/>
      </w:pPr>
      <w:r w:rsidRPr="32CEDDB5" w:rsidR="172F35E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01-3: Data Modeling</w:t>
      </w:r>
    </w:p>
    <w:p xmlns:wp14="http://schemas.microsoft.com/office/word/2010/wordml" w:rsidP="32CEDDB5" wp14:paraId="69CD9C72" wp14:textId="4F2FD716">
      <w:pPr>
        <w:spacing w:line="480" w:lineRule="auto"/>
      </w:pPr>
    </w:p>
    <w:p xmlns:wp14="http://schemas.microsoft.com/office/word/2010/wordml" w:rsidP="32CEDDB5" wp14:paraId="3826B902" wp14:textId="41058751">
      <w:pPr>
        <w:spacing w:before="0" w:beforeAutospacing="off" w:after="0" w:afterAutospacing="off" w:line="480" w:lineRule="auto"/>
        <w:ind w:left="720" w:right="0"/>
        <w:jc w:val="center"/>
      </w:pPr>
      <w:r w:rsidRPr="32CEDDB5" w:rsidR="172F35E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32CEDDB5" wp14:paraId="030FB47A" wp14:textId="639F0B02">
      <w:pPr>
        <w:spacing w:before="0" w:beforeAutospacing="off" w:after="0" w:afterAutospacing="off" w:line="480" w:lineRule="auto"/>
        <w:ind w:left="720" w:right="0"/>
        <w:jc w:val="center"/>
      </w:pPr>
      <w:r w:rsidRPr="32CEDDB5" w:rsidR="172F35E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32CEDDB5" wp14:paraId="10235C66" wp14:textId="2525DAFB">
      <w:pPr>
        <w:spacing w:before="0" w:beforeAutospacing="off" w:after="0" w:afterAutospacing="off" w:line="480" w:lineRule="auto"/>
        <w:ind w:left="720" w:right="0"/>
        <w:jc w:val="center"/>
      </w:pPr>
      <w:r w:rsidRPr="32CEDDB5" w:rsidR="172F35E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32CEDDB5" wp14:paraId="1ADBCFED" wp14:textId="4A8D59B0">
      <w:pPr>
        <w:spacing w:before="0" w:beforeAutospacing="off" w:after="0" w:afterAutospacing="off" w:line="480" w:lineRule="auto"/>
        <w:ind w:left="720" w:right="0"/>
        <w:jc w:val="center"/>
      </w:pPr>
      <w:r w:rsidRPr="32CEDDB5" w:rsidR="172F35E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32CEDDB5" wp14:paraId="1391EEDE" wp14:textId="6C0275BD">
      <w:pPr>
        <w:spacing w:before="0" w:beforeAutospacing="off" w:after="0" w:afterAutospacing="off" w:line="480" w:lineRule="auto"/>
        <w:ind w:left="720" w:right="0"/>
        <w:jc w:val="center"/>
      </w:pPr>
      <w:r w:rsidRPr="32CEDDB5" w:rsidR="172F35E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April 26, 2026</w:t>
      </w:r>
    </w:p>
    <w:p xmlns:wp14="http://schemas.microsoft.com/office/word/2010/wordml" w:rsidP="32CEDDB5" wp14:paraId="39CF759C" wp14:textId="68E143BA">
      <w:pPr>
        <w:spacing w:line="480" w:lineRule="auto"/>
      </w:pPr>
      <w:r>
        <w:br w:type="page"/>
      </w:r>
    </w:p>
    <w:p xmlns:wp14="http://schemas.microsoft.com/office/word/2010/wordml" w:rsidP="32CEDDB5" wp14:paraId="064CC23F" wp14:textId="15C71B7B">
      <w:pPr>
        <w:spacing w:before="0" w:beforeAutospacing="off" w:after="0" w:afterAutospacing="off" w:line="480" w:lineRule="auto"/>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The provided datasets from “Module_One_Nut_Descs.csv” and “Module_One_Nut_Vals.csv” represent information from the United States Department of Agriculture Child Nutrition Database (CNDB). This report outlines an appropriate data modeling technique for representing the structure of these datasets, justifies the approach for real-world use cases, presents an entity relationship diagram (ERD), and addresses scalability and flexibility concerns.</w:t>
      </w:r>
    </w:p>
    <w:p xmlns:wp14="http://schemas.microsoft.com/office/word/2010/wordml" w:rsidP="32CEDDB5" wp14:paraId="2DB43540" wp14:textId="5BB81570">
      <w:pPr>
        <w:spacing w:before="0" w:beforeAutospacing="off" w:after="0" w:afterAutospacing="off" w:line="480" w:lineRule="auto"/>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There are many ways to model data, and there is no objective correct way to model a dataset as each technique may have its pros and cons. Conceptual models offer a high-level overview appropriate for a business perspective (IBM, 2021). These models focus on entities and their relationships, represented with rectangles and diamonds respectively (Gliffy, 2024). Conceptual models may also include constraints (IBM, 2021). In the context of these datasets, a conceptual model would likely include two entities–Food and Nutrient–with a many-to-many relationship in which Food contains Nutrient. Logical models take this a step further by introducing entity attributes and primary and foreign keys to define relationships. Logical models are a middle ground that provides some abstraction from system-level details but still clearly defines the concepts and relationships in the system (IBM, 2021). A logical model may introduce a middleground entity for the relationship between Food and Nutrient, with foreign keys to tie the two tables together. This also resolves the many-to-many relation into two distinct one-to-many relationships, which is often preferred. Finally, physical models introduce database management system (DMBS)-specific parameters such as the data type. These schemas are ready to be implemented into real systems, and are optimized for a specific use case. For the CNDB datasets, the Cn code and Nutrient code would be stored as integers, while the Nutrient description might be stored as a VARCHAR. </w:t>
      </w:r>
    </w:p>
    <w:p xmlns:wp14="http://schemas.microsoft.com/office/word/2010/wordml" w:rsidP="32CEDDB5" wp14:paraId="6C5F743C" wp14:textId="58856568">
      <w:pPr>
        <w:spacing w:before="0" w:beforeAutospacing="off" w:after="0" w:afterAutospacing="off" w:line="480" w:lineRule="auto"/>
        <w:ind w:firstLine="720"/>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Each of the three techniques provide a trade-off between abstraction and accuracy. Conceptual models are the easiest to understand but may not accurately reflect how the data is stored (Coursera, 2025). On the opposite end of the spectrum, physical models describe exactly how the data is truly stored in the system, but it may be difficult to see the overall picture of how entities relate to one another (Coursera, 2025).In many cases, all three techniques are used to provide different views of a system, but the contents of a dataset can influence how the data is modeled. For example, not every dataset is best represented with a relational model. Instead, hierarchical or dimensional models may be a better fit (IBM, 2021). Developers may prefer a Unified Modelling Language (UML) diagram for object-oriented systems (</w:t>
      </w:r>
      <w:r w:rsidRPr="32CEDDB5" w:rsidR="172F35EB">
        <w:rPr>
          <w:rFonts w:ascii="Arial" w:hAnsi="Arial" w:eastAsia="Arial" w:cs="Arial"/>
          <w:b w:val="0"/>
          <w:bCs w:val="0"/>
          <w:i w:val="1"/>
          <w:iCs w:val="1"/>
          <w:strike w:val="0"/>
          <w:dstrike w:val="0"/>
          <w:noProof w:val="0"/>
          <w:color w:val="000000" w:themeColor="text1" w:themeTint="FF" w:themeShade="FF"/>
          <w:sz w:val="22"/>
          <w:szCs w:val="22"/>
          <w:u w:val="none"/>
          <w:lang w:val="en-US"/>
        </w:rPr>
        <w:t>7 Data Modeling Techniques And Methodologies</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2024).</w:t>
      </w:r>
    </w:p>
    <w:p xmlns:wp14="http://schemas.microsoft.com/office/word/2010/wordml" w:rsidP="32CEDDB5" wp14:paraId="74241147" wp14:textId="454E2265">
      <w:pPr>
        <w:spacing w:before="0" w:beforeAutospacing="off" w:after="0" w:afterAutospacing="off" w:line="480" w:lineRule="auto"/>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For the Nutrient Description and Nutrient Value datasets provided, a logical model offers the best balance between abstraction and accuracy. In Figure 1, the information is represented by three tables–Food, Nutrient, and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FoodNutrientValue</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 a logical ERD. Food and Nutrient serve as the primary entities, with Nutrient including attributes such as description, abbreviation, unit, and dates added and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modified</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FoodNutrientValue</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table serves as a bridge to describe the relationship between Food and Nutrient. Each entry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represents</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nutrient contained in a food and is linked using two foreign keys–Cn code and Nutrient code.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FoodNutrientValue</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entries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contain</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attributes for the numerical value, per unit, value type code (how the value was calculated), source code (where the information comes from), and dates added and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modified</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 Department of Agriculture, 2024). This model accurately reflects the relationships in the two provided datasets while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remaining</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easy to understand at </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a high level</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xmlns:wp14="http://schemas.microsoft.com/office/word/2010/wordml" wp14:paraId="52E1D7BD" wp14:textId="4A04C68A">
      <w:r>
        <w:br w:type="page"/>
      </w:r>
    </w:p>
    <w:p xmlns:wp14="http://schemas.microsoft.com/office/word/2010/wordml" w:rsidP="32CEDDB5" wp14:paraId="5B680EB5" wp14:textId="1D358C8F">
      <w:pPr>
        <w:spacing w:before="0" w:beforeAutospacing="off" w:after="0" w:afterAutospacing="off" w:line="480" w:lineRule="auto"/>
      </w:pPr>
      <w:r w:rsidRPr="32CEDDB5" w:rsidR="172F35EB">
        <w:rPr>
          <w:rFonts w:ascii="Arial" w:hAnsi="Arial" w:eastAsia="Arial" w:cs="Arial"/>
          <w:b w:val="1"/>
          <w:bCs w:val="1"/>
          <w:i w:val="0"/>
          <w:iCs w:val="0"/>
          <w:strike w:val="0"/>
          <w:dstrike w:val="0"/>
          <w:noProof w:val="0"/>
          <w:color w:val="000000" w:themeColor="text1" w:themeTint="FF" w:themeShade="FF"/>
          <w:sz w:val="22"/>
          <w:szCs w:val="22"/>
          <w:u w:val="none"/>
          <w:lang w:val="en-US"/>
        </w:rPr>
        <w:t>Figure 1</w:t>
      </w:r>
    </w:p>
    <w:p xmlns:wp14="http://schemas.microsoft.com/office/word/2010/wordml" w:rsidP="32CEDDB5" wp14:paraId="0BA9FBA7" wp14:textId="6C56664F">
      <w:pPr>
        <w:spacing w:before="0" w:beforeAutospacing="off" w:after="0" w:afterAutospacing="off" w:line="480" w:lineRule="auto"/>
      </w:pPr>
      <w:r w:rsidRPr="32CEDDB5" w:rsidR="172F35EB">
        <w:rPr>
          <w:rFonts w:ascii="Arial" w:hAnsi="Arial" w:eastAsia="Arial" w:cs="Arial"/>
          <w:b w:val="0"/>
          <w:bCs w:val="0"/>
          <w:i w:val="1"/>
          <w:iCs w:val="1"/>
          <w:strike w:val="0"/>
          <w:dstrike w:val="0"/>
          <w:noProof w:val="0"/>
          <w:color w:val="000000" w:themeColor="text1" w:themeTint="FF" w:themeShade="FF"/>
          <w:sz w:val="22"/>
          <w:szCs w:val="22"/>
          <w:u w:val="none"/>
          <w:lang w:val="en-US"/>
        </w:rPr>
        <w:t>Child Nutrition Logical ERD</w:t>
      </w:r>
    </w:p>
    <w:p xmlns:wp14="http://schemas.microsoft.com/office/word/2010/wordml" w:rsidP="32CEDDB5" wp14:paraId="0BF42C15" wp14:textId="55C8842F">
      <w:pPr>
        <w:spacing w:before="0" w:beforeAutospacing="off" w:after="0" w:afterAutospacing="off" w:line="480" w:lineRule="auto"/>
      </w:pPr>
      <w:r w:rsidR="172F35EB">
        <w:drawing>
          <wp:inline xmlns:wp14="http://schemas.microsoft.com/office/word/2010/wordprocessingDrawing" wp14:editId="7572E595" wp14:anchorId="2EF2DB20">
            <wp:extent cx="5943600" cy="2638425"/>
            <wp:effectExtent l="0" t="0" r="0" b="0"/>
            <wp:docPr id="1122140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140420" name="Picture 1122140420"/>
                    <pic:cNvPicPr/>
                  </pic:nvPicPr>
                  <pic:blipFill>
                    <a:blip xmlns:r="http://schemas.openxmlformats.org/officeDocument/2006/relationships" r:embed="rId2105284413">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p>
    <w:p xmlns:wp14="http://schemas.microsoft.com/office/word/2010/wordml" w:rsidP="32CEDDB5" wp14:paraId="05DBBAB8" wp14:textId="1D00FC6E">
      <w:pPr>
        <w:spacing w:before="0" w:beforeAutospacing="off" w:after="0" w:afterAutospacing="off" w:line="480" w:lineRule="auto"/>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The model provided in Figure 1 is both flexible and scalable for real-world applications. Adding new attributes, such as a description or category, to the Food table is straightforward. This change propagates to all FoodNutrientValue entries through the Cn code foreign key relationship and avoids adding redundant attributes directly to the FoodNutrientValue table. Additional attributes may be added to the Nutrient table in a similar fashion. This schema efficiently stores information and allows for easy identification of unique foods and nutrients without processing every value entry to extract distinct codes. This schema can be readily adapted into a physical model for DBMS implementation by selecting data types for each attribute and applying system-specific parameters as needed.</w:t>
      </w:r>
    </w:p>
    <w:p xmlns:wp14="http://schemas.microsoft.com/office/word/2010/wordml" w:rsidP="32CEDDB5" wp14:paraId="37302D14" wp14:textId="00F04B58">
      <w:pPr>
        <w:spacing w:before="280" w:beforeAutospacing="off" w:after="280" w:afterAutospacing="off" w:line="480" w:lineRule="auto"/>
        <w:jc w:val="center"/>
        <w:rPr>
          <w:rFonts w:ascii="Arial" w:hAnsi="Arial" w:eastAsia="Arial" w:cs="Arial"/>
          <w:b w:val="1"/>
          <w:bCs w:val="1"/>
          <w:i w:val="0"/>
          <w:iCs w:val="0"/>
          <w:strike w:val="0"/>
          <w:dstrike w:val="0"/>
          <w:noProof w:val="0"/>
          <w:color w:val="000000" w:themeColor="text1" w:themeTint="FF" w:themeShade="FF"/>
          <w:sz w:val="22"/>
          <w:szCs w:val="22"/>
          <w:u w:val="none"/>
          <w:lang w:val="en-US"/>
        </w:rPr>
      </w:pPr>
    </w:p>
    <w:p xmlns:wp14="http://schemas.microsoft.com/office/word/2010/wordml" wp14:paraId="3A57FB00" wp14:textId="18AAB2BB">
      <w:r>
        <w:br w:type="page"/>
      </w:r>
    </w:p>
    <w:p xmlns:wp14="http://schemas.microsoft.com/office/word/2010/wordml" w:rsidP="32CEDDB5" wp14:paraId="025E34EB" wp14:textId="420C4E09">
      <w:pPr>
        <w:pStyle w:val="Normal"/>
        <w:spacing w:before="280" w:beforeAutospacing="off" w:after="280" w:afterAutospacing="off" w:line="480" w:lineRule="auto"/>
        <w:jc w:val="center"/>
      </w:pPr>
      <w:r w:rsidRPr="32CEDDB5" w:rsidR="172F35EB">
        <w:rPr>
          <w:rFonts w:ascii="Arial" w:hAnsi="Arial" w:eastAsia="Arial" w:cs="Arial"/>
          <w:b w:val="1"/>
          <w:bCs w:val="1"/>
          <w:i w:val="0"/>
          <w:iCs w:val="0"/>
          <w:strike w:val="0"/>
          <w:dstrike w:val="0"/>
          <w:noProof w:val="0"/>
          <w:color w:val="000000" w:themeColor="text1" w:themeTint="FF" w:themeShade="FF"/>
          <w:sz w:val="22"/>
          <w:szCs w:val="22"/>
          <w:u w:val="none"/>
          <w:lang w:val="en-US"/>
        </w:rPr>
        <w:t>References</w:t>
      </w:r>
    </w:p>
    <w:p xmlns:wp14="http://schemas.microsoft.com/office/word/2010/wordml" w:rsidP="32CEDDB5" wp14:paraId="032F907E" wp14:textId="13E319EB">
      <w:pPr>
        <w:shd w:val="clear" w:color="auto" w:fill="FFFFFF" w:themeFill="background1"/>
        <w:spacing w:before="0" w:beforeAutospacing="off" w:after="0" w:afterAutospacing="off" w:line="480" w:lineRule="auto"/>
        <w:ind w:left="720" w:hanging="720"/>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Coursera (2025). </w:t>
      </w:r>
      <w:r w:rsidRPr="32CEDDB5" w:rsidR="172F35EB">
        <w:rPr>
          <w:rFonts w:ascii="Arial" w:hAnsi="Arial" w:eastAsia="Arial" w:cs="Arial"/>
          <w:b w:val="0"/>
          <w:bCs w:val="0"/>
          <w:i w:val="1"/>
          <w:iCs w:val="1"/>
          <w:strike w:val="0"/>
          <w:dstrike w:val="0"/>
          <w:noProof w:val="0"/>
          <w:color w:val="000000" w:themeColor="text1" w:themeTint="FF" w:themeShade="FF"/>
          <w:sz w:val="22"/>
          <w:szCs w:val="22"/>
          <w:u w:val="none"/>
          <w:lang w:val="en-US"/>
        </w:rPr>
        <w:t>Exploring Data Modeling Techniques: Popular Options for 2025</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Coursera. </w:t>
      </w:r>
      <w:hyperlink r:id="R383e3259c4f247f4">
        <w:r w:rsidRPr="32CEDDB5" w:rsidR="172F35EB">
          <w:rPr>
            <w:rStyle w:val="Hyperlink"/>
            <w:rFonts w:ascii="Arial" w:hAnsi="Arial" w:eastAsia="Arial" w:cs="Arial"/>
            <w:b w:val="0"/>
            <w:bCs w:val="0"/>
            <w:i w:val="0"/>
            <w:iCs w:val="0"/>
            <w:strike w:val="0"/>
            <w:dstrike w:val="0"/>
            <w:noProof w:val="0"/>
            <w:color w:val="1155CC"/>
            <w:sz w:val="22"/>
            <w:szCs w:val="22"/>
            <w:u w:val="none"/>
            <w:lang w:val="en-US"/>
          </w:rPr>
          <w:t>https://www.coursera.org/articles/data-modeling-techniques</w:t>
        </w:r>
      </w:hyperlink>
    </w:p>
    <w:p xmlns:wp14="http://schemas.microsoft.com/office/word/2010/wordml" w:rsidP="32CEDDB5" wp14:paraId="16ADA52A" wp14:textId="087C4636">
      <w:pPr>
        <w:shd w:val="clear" w:color="auto" w:fill="FFFFFF" w:themeFill="background1"/>
        <w:spacing w:before="0" w:beforeAutospacing="off" w:after="0" w:afterAutospacing="off" w:line="480" w:lineRule="auto"/>
        <w:ind w:left="720" w:hanging="720"/>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Gliffy. (2024, August 16). </w:t>
      </w:r>
      <w:r w:rsidRPr="32CEDDB5" w:rsidR="172F35EB">
        <w:rPr>
          <w:rFonts w:ascii="Arial" w:hAnsi="Arial" w:eastAsia="Arial" w:cs="Arial"/>
          <w:b w:val="0"/>
          <w:bCs w:val="0"/>
          <w:i w:val="1"/>
          <w:iCs w:val="1"/>
          <w:strike w:val="0"/>
          <w:dstrike w:val="0"/>
          <w:noProof w:val="0"/>
          <w:color w:val="000000" w:themeColor="text1" w:themeTint="FF" w:themeShade="FF"/>
          <w:sz w:val="22"/>
          <w:szCs w:val="22"/>
          <w:u w:val="none"/>
          <w:lang w:val="en-US"/>
        </w:rPr>
        <w:t>How to Draw an Entity-Relationship Diagram</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Gliffy. </w:t>
      </w:r>
      <w:hyperlink r:id="Ra785e700626543ed">
        <w:r w:rsidRPr="32CEDDB5" w:rsidR="172F35EB">
          <w:rPr>
            <w:rStyle w:val="Hyperlink"/>
            <w:rFonts w:ascii="Arial" w:hAnsi="Arial" w:eastAsia="Arial" w:cs="Arial"/>
            <w:b w:val="0"/>
            <w:bCs w:val="0"/>
            <w:i w:val="0"/>
            <w:iCs w:val="0"/>
            <w:strike w:val="0"/>
            <w:dstrike w:val="0"/>
            <w:noProof w:val="0"/>
            <w:color w:val="1155CC"/>
            <w:sz w:val="22"/>
            <w:szCs w:val="22"/>
            <w:u w:val="none"/>
            <w:lang w:val="en-US"/>
          </w:rPr>
          <w:t>https://www.gliffy.com/blog/how-to-draw-an-entity-relationship-diagram</w:t>
        </w:r>
      </w:hyperlink>
    </w:p>
    <w:p xmlns:wp14="http://schemas.microsoft.com/office/word/2010/wordml" w:rsidP="32CEDDB5" wp14:paraId="52A09522" wp14:textId="5056A0C7">
      <w:pPr>
        <w:shd w:val="clear" w:color="auto" w:fill="FFFFFF" w:themeFill="background1"/>
        <w:spacing w:before="0" w:beforeAutospacing="off" w:after="0" w:afterAutospacing="off" w:line="480" w:lineRule="auto"/>
        <w:ind w:left="720" w:hanging="720"/>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IBM. (2021, September 29). </w:t>
      </w:r>
      <w:r w:rsidRPr="32CEDDB5" w:rsidR="172F35EB">
        <w:rPr>
          <w:rFonts w:ascii="Arial" w:hAnsi="Arial" w:eastAsia="Arial" w:cs="Arial"/>
          <w:b w:val="0"/>
          <w:bCs w:val="0"/>
          <w:i w:val="1"/>
          <w:iCs w:val="1"/>
          <w:strike w:val="0"/>
          <w:dstrike w:val="0"/>
          <w:noProof w:val="0"/>
          <w:color w:val="000000" w:themeColor="text1" w:themeTint="FF" w:themeShade="FF"/>
          <w:sz w:val="22"/>
          <w:szCs w:val="22"/>
          <w:u w:val="none"/>
          <w:lang w:val="en-US"/>
        </w:rPr>
        <w:t>Data Modeling</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Ibm.com. </w:t>
      </w:r>
      <w:hyperlink r:id="Rc94c593f7b3f4246">
        <w:r w:rsidRPr="32CEDDB5" w:rsidR="172F35EB">
          <w:rPr>
            <w:rStyle w:val="Hyperlink"/>
            <w:rFonts w:ascii="Arial" w:hAnsi="Arial" w:eastAsia="Arial" w:cs="Arial"/>
            <w:b w:val="0"/>
            <w:bCs w:val="0"/>
            <w:i w:val="0"/>
            <w:iCs w:val="0"/>
            <w:strike w:val="0"/>
            <w:dstrike w:val="0"/>
            <w:noProof w:val="0"/>
            <w:color w:val="1155CC"/>
            <w:sz w:val="22"/>
            <w:szCs w:val="22"/>
            <w:u w:val="none"/>
            <w:lang w:val="en-US"/>
          </w:rPr>
          <w:t>https://www.ibm.com/think/topics/data-modeling</w:t>
        </w:r>
      </w:hyperlink>
    </w:p>
    <w:p xmlns:wp14="http://schemas.microsoft.com/office/word/2010/wordml" w:rsidP="32CEDDB5" wp14:paraId="4B62B2D7" wp14:textId="3A838E91">
      <w:pPr>
        <w:shd w:val="clear" w:color="auto" w:fill="FFFFFF" w:themeFill="background1"/>
        <w:spacing w:before="0" w:beforeAutospacing="off" w:after="0" w:afterAutospacing="off" w:line="480" w:lineRule="auto"/>
        <w:ind w:left="720" w:hanging="720"/>
      </w:pPr>
      <w:r w:rsidRPr="32CEDDB5" w:rsidR="172F35EB">
        <w:rPr>
          <w:rFonts w:ascii="Arial" w:hAnsi="Arial" w:eastAsia="Arial" w:cs="Arial"/>
          <w:b w:val="0"/>
          <w:bCs w:val="0"/>
          <w:i w:val="1"/>
          <w:iCs w:val="1"/>
          <w:strike w:val="0"/>
          <w:dstrike w:val="0"/>
          <w:noProof w:val="0"/>
          <w:color w:val="000000" w:themeColor="text1" w:themeTint="FF" w:themeShade="FF"/>
          <w:sz w:val="22"/>
          <w:szCs w:val="22"/>
          <w:u w:val="none"/>
          <w:lang w:val="en-US"/>
        </w:rPr>
        <w:t>7 Data Modeling Techniques And Methodologies</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(2024, August 9). Softlist.io. </w:t>
      </w:r>
      <w:hyperlink r:id="Rb1990e9dc50b4b9c">
        <w:r w:rsidRPr="32CEDDB5" w:rsidR="172F35EB">
          <w:rPr>
            <w:rStyle w:val="Hyperlink"/>
            <w:rFonts w:ascii="Arial" w:hAnsi="Arial" w:eastAsia="Arial" w:cs="Arial"/>
            <w:b w:val="0"/>
            <w:bCs w:val="0"/>
            <w:i w:val="0"/>
            <w:iCs w:val="0"/>
            <w:strike w:val="0"/>
            <w:dstrike w:val="0"/>
            <w:noProof w:val="0"/>
            <w:color w:val="1155CC"/>
            <w:sz w:val="22"/>
            <w:szCs w:val="22"/>
            <w:u w:val="none"/>
            <w:lang w:val="en-US"/>
          </w:rPr>
          <w:t>https://www.softlist.io/7-data-modeling-techniques-and-methodologies/</w:t>
        </w:r>
      </w:hyperlink>
    </w:p>
    <w:p xmlns:wp14="http://schemas.microsoft.com/office/word/2010/wordml" w:rsidP="32CEDDB5" wp14:paraId="2C078E63" wp14:textId="7593AE2F">
      <w:pPr>
        <w:shd w:val="clear" w:color="auto" w:fill="FFFFFF" w:themeFill="background1"/>
        <w:spacing w:before="0" w:beforeAutospacing="off" w:after="0" w:afterAutospacing="off" w:line="480" w:lineRule="auto"/>
        <w:ind w:left="720" w:hanging="720"/>
      </w:pP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 Department of Agriculture. (2024). </w:t>
      </w:r>
      <w:r w:rsidRPr="32CEDDB5" w:rsidR="172F35EB">
        <w:rPr>
          <w:rFonts w:ascii="Arial" w:hAnsi="Arial" w:eastAsia="Arial" w:cs="Arial"/>
          <w:b w:val="0"/>
          <w:bCs w:val="0"/>
          <w:i w:val="1"/>
          <w:iCs w:val="1"/>
          <w:strike w:val="0"/>
          <w:dstrike w:val="0"/>
          <w:noProof w:val="0"/>
          <w:color w:val="000000" w:themeColor="text1" w:themeTint="FF" w:themeShade="FF"/>
          <w:sz w:val="22"/>
          <w:szCs w:val="22"/>
          <w:u w:val="none"/>
          <w:lang w:val="en-US"/>
        </w:rPr>
        <w:t>Child nutrition database documentation (CN27)</w:t>
      </w:r>
      <w:r w:rsidRPr="32CEDDB5" w:rsidR="172F35EB">
        <w:rPr>
          <w:rFonts w:ascii="Arial" w:hAnsi="Arial" w:eastAsia="Arial" w:cs="Arial"/>
          <w:b w:val="0"/>
          <w:bCs w:val="0"/>
          <w:i w:val="0"/>
          <w:iCs w:val="0"/>
          <w:strike w:val="0"/>
          <w:dstrike w:val="0"/>
          <w:noProof w:val="0"/>
          <w:color w:val="000000" w:themeColor="text1" w:themeTint="FF" w:themeShade="FF"/>
          <w:sz w:val="22"/>
          <w:szCs w:val="22"/>
          <w:u w:val="none"/>
          <w:lang w:val="en-US"/>
        </w:rPr>
        <w:t>.</w:t>
      </w:r>
      <w:hyperlink r:id="R1902c1eaa80b47aa">
        <w:r w:rsidRPr="32CEDDB5" w:rsidR="172F35EB">
          <w:rPr>
            <w:rStyle w:val="Hyperlink"/>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32CEDDB5" w:rsidR="172F35EB">
          <w:rPr>
            <w:rStyle w:val="Hyperlink"/>
            <w:rFonts w:ascii="Arial" w:hAnsi="Arial" w:eastAsia="Arial" w:cs="Arial"/>
            <w:b w:val="0"/>
            <w:bCs w:val="0"/>
            <w:i w:val="0"/>
            <w:iCs w:val="0"/>
            <w:strike w:val="0"/>
            <w:dstrike w:val="0"/>
            <w:noProof w:val="0"/>
            <w:color w:val="1155CC"/>
            <w:sz w:val="22"/>
            <w:szCs w:val="22"/>
            <w:u w:val="none"/>
            <w:lang w:val="en-US"/>
          </w:rPr>
          <w:t>https://fdc.nal.usda.gov/docs/cndb-documentation-cn27.pdf</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55a13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5E06BB"/>
    <w:rsid w:val="172F35EB"/>
    <w:rsid w:val="32CEDDB5"/>
    <w:rsid w:val="6B5E06BB"/>
    <w:rsid w:val="79796B39"/>
    <w:rsid w:val="7DAFC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06BB"/>
  <w15:chartTrackingRefBased/>
  <w15:docId w15:val="{561ADF9F-9DDB-4E16-BE77-D96A081320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2CEDD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2CEDDB5"/>
    <w:pPr>
      <w:spacing/>
      <w:ind w:left="720"/>
      <w:contextualSpacing/>
    </w:pPr>
  </w:style>
  <w:style w:type="character" w:styleId="Hyperlink">
    <w:uiPriority w:val="99"/>
    <w:name w:val="Hyperlink"/>
    <w:basedOn w:val="DefaultParagraphFont"/>
    <w:unhideWhenUsed/>
    <w:rsid w:val="32CEDDB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05284413" /><Relationship Type="http://schemas.openxmlformats.org/officeDocument/2006/relationships/hyperlink" Target="https://www.coursera.org/articles/data-modeling-techniques" TargetMode="External" Id="R383e3259c4f247f4" /><Relationship Type="http://schemas.openxmlformats.org/officeDocument/2006/relationships/hyperlink" Target="https://www.gliffy.com/blog/how-to-draw-an-entity-relationship-diagram" TargetMode="External" Id="Ra785e700626543ed" /><Relationship Type="http://schemas.openxmlformats.org/officeDocument/2006/relationships/hyperlink" Target="https://www.ibm.com/think/topics/data-modeling" TargetMode="External" Id="Rc94c593f7b3f4246" /><Relationship Type="http://schemas.openxmlformats.org/officeDocument/2006/relationships/hyperlink" Target="https://www.softlist.io/7-data-modeling-techniques-and-methodologies/" TargetMode="External" Id="Rb1990e9dc50b4b9c" /><Relationship Type="http://schemas.openxmlformats.org/officeDocument/2006/relationships/hyperlink" Target="https://fdc.nal.usda.gov/docs/cndb-documentation-cn27.pdf" TargetMode="External" Id="R1902c1eaa80b47aa" /><Relationship Type="http://schemas.openxmlformats.org/officeDocument/2006/relationships/numbering" Target="numbering.xml" Id="R97b05513816d49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2026-05-03T16:32:27.4184013Z</dcterms:created>
  <dcterms:modified xsi:type="dcterms:W3CDTF">2026-05-03T16:33:56.0592697Z</dcterms:modified>
  <dc:creator>Rhea, Sharie</dc:creator>
  <lastModifiedBy>Rhea, Sharie</lastModifiedBy>
</coreProperties>
</file>