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27D8D" w14:textId="77777777" w:rsidR="008058FA" w:rsidRPr="008058FA" w:rsidRDefault="008058FA" w:rsidP="008058FA">
      <w:pPr>
        <w:rPr>
          <w:b/>
          <w:bCs/>
        </w:rPr>
      </w:pPr>
      <w:r w:rsidRPr="008058FA">
        <w:rPr>
          <w:b/>
          <w:bCs/>
        </w:rPr>
        <w:t>Business Sales Performance Analytics</w:t>
      </w:r>
    </w:p>
    <w:p w14:paraId="51E74F61" w14:textId="77777777" w:rsidR="008058FA" w:rsidRPr="008058FA" w:rsidRDefault="008058FA" w:rsidP="008058FA">
      <w:pPr>
        <w:rPr>
          <w:b/>
          <w:bCs/>
        </w:rPr>
      </w:pPr>
      <w:r w:rsidRPr="008058FA">
        <w:rPr>
          <w:b/>
          <w:bCs/>
        </w:rPr>
        <w:t>Key Insights and Recommendations</w:t>
      </w:r>
    </w:p>
    <w:p w14:paraId="31DD2F2E" w14:textId="77777777" w:rsidR="008058FA" w:rsidRPr="008058FA" w:rsidRDefault="008058FA" w:rsidP="008058FA">
      <w:pPr>
        <w:rPr>
          <w:b/>
          <w:bCs/>
        </w:rPr>
      </w:pPr>
      <w:r w:rsidRPr="008058FA">
        <w:rPr>
          <w:b/>
          <w:bCs/>
        </w:rPr>
        <w:t>1. Overall Performance</w:t>
      </w:r>
    </w:p>
    <w:p w14:paraId="0D67C39E" w14:textId="77777777" w:rsidR="008058FA" w:rsidRPr="008058FA" w:rsidRDefault="008058FA" w:rsidP="008058FA">
      <w:r w:rsidRPr="008058FA">
        <w:t>The Superstore dataset records total sales of 2,297,200.86 and total profit of 286,397.02 across 5,009 distinct orders. The overall profit margin is approximately 12.47%.</w:t>
      </w:r>
    </w:p>
    <w:p w14:paraId="60C837F3" w14:textId="77777777" w:rsidR="008058FA" w:rsidRPr="008058FA" w:rsidRDefault="008058FA" w:rsidP="008058FA">
      <w:r w:rsidRPr="008058FA">
        <w:rPr>
          <w:b/>
          <w:bCs/>
        </w:rPr>
        <w:t>Recommendation:</w:t>
      </w:r>
      <w:r w:rsidRPr="008058FA">
        <w:t xml:space="preserve"> Monitor sales, profit, and profit margin together rather than evaluating business performance using revenue alone.</w:t>
      </w:r>
    </w:p>
    <w:p w14:paraId="7C173DEA" w14:textId="77777777" w:rsidR="008058FA" w:rsidRPr="008058FA" w:rsidRDefault="008058FA" w:rsidP="008058FA">
      <w:pPr>
        <w:rPr>
          <w:b/>
          <w:bCs/>
        </w:rPr>
      </w:pPr>
      <w:r w:rsidRPr="008058FA">
        <w:rPr>
          <w:b/>
          <w:bCs/>
        </w:rPr>
        <w:t>2. Sales Growth</w:t>
      </w:r>
    </w:p>
    <w:p w14:paraId="22AF35A4" w14:textId="77777777" w:rsidR="008058FA" w:rsidRPr="008058FA" w:rsidRDefault="008058FA" w:rsidP="008058FA">
      <w:r w:rsidRPr="008058FA">
        <w:t>Annual sales increased from 484,247.50 in 2014 to 733,215.26 in 2017, indicating an upward trend across the period.</w:t>
      </w:r>
    </w:p>
    <w:p w14:paraId="36A9A354" w14:textId="77777777" w:rsidR="008058FA" w:rsidRPr="008058FA" w:rsidRDefault="008058FA" w:rsidP="008058FA">
      <w:r w:rsidRPr="008058FA">
        <w:rPr>
          <w:b/>
          <w:bCs/>
        </w:rPr>
        <w:t>Recommendation:</w:t>
      </w:r>
      <w:r w:rsidRPr="008058FA">
        <w:t xml:space="preserve"> Examine monthly and yearly performance to identify periods of strong demand and plan inventory and promotions accordingly.</w:t>
      </w:r>
    </w:p>
    <w:p w14:paraId="24EBA3AF" w14:textId="77777777" w:rsidR="008058FA" w:rsidRPr="008058FA" w:rsidRDefault="008058FA" w:rsidP="008058FA">
      <w:pPr>
        <w:rPr>
          <w:b/>
          <w:bCs/>
        </w:rPr>
      </w:pPr>
      <w:r w:rsidRPr="008058FA">
        <w:rPr>
          <w:b/>
          <w:bCs/>
        </w:rPr>
        <w:t>3. Category Performance</w:t>
      </w:r>
    </w:p>
    <w:p w14:paraId="7EF34610" w14:textId="77777777" w:rsidR="008058FA" w:rsidRPr="008058FA" w:rsidRDefault="008058FA" w:rsidP="008058FA">
      <w:r w:rsidRPr="008058FA">
        <w:t>Technology recorded the highest sales and profit among the three product categories. Furniture had a comparatively low profit margin of approximately 2.49%.</w:t>
      </w:r>
    </w:p>
    <w:p w14:paraId="55D3DDAE" w14:textId="77777777" w:rsidR="008058FA" w:rsidRPr="008058FA" w:rsidRDefault="008058FA" w:rsidP="008058FA">
      <w:r w:rsidRPr="008058FA">
        <w:rPr>
          <w:b/>
          <w:bCs/>
        </w:rPr>
        <w:t>Recommendation:</w:t>
      </w:r>
      <w:r w:rsidRPr="008058FA">
        <w:t xml:space="preserve"> Investigate Furniture pricing, discounts, shipping costs, and product-level profitability to identify opportunities to improve margins. Avoid reducing discounts indiscriminately without examining their effect on sales.</w:t>
      </w:r>
    </w:p>
    <w:p w14:paraId="3BEC3E71" w14:textId="77777777" w:rsidR="008058FA" w:rsidRPr="008058FA" w:rsidRDefault="008058FA" w:rsidP="008058FA">
      <w:pPr>
        <w:rPr>
          <w:b/>
          <w:bCs/>
        </w:rPr>
      </w:pPr>
      <w:r w:rsidRPr="008058FA">
        <w:rPr>
          <w:b/>
          <w:bCs/>
        </w:rPr>
        <w:t>4. Regional Performance</w:t>
      </w:r>
    </w:p>
    <w:p w14:paraId="712453E8" w14:textId="77777777" w:rsidR="008058FA" w:rsidRPr="008058FA" w:rsidRDefault="008058FA" w:rsidP="008058FA">
      <w:r w:rsidRPr="008058FA">
        <w:t>The West region recorded the highest sales and profit among the four regions. Central had the lowest profit margin, at approximately 7.92%.</w:t>
      </w:r>
    </w:p>
    <w:p w14:paraId="19B3E9D6" w14:textId="77777777" w:rsidR="008058FA" w:rsidRPr="008058FA" w:rsidRDefault="008058FA" w:rsidP="008058FA">
      <w:r w:rsidRPr="008058FA">
        <w:rPr>
          <w:b/>
          <w:bCs/>
        </w:rPr>
        <w:t>Recommendation:</w:t>
      </w:r>
      <w:r w:rsidRPr="008058FA">
        <w:t xml:space="preserve"> Investigate the Central region's product mix, discount patterns, and costs to identify the factors behind its lower profitability. Compare its practices with those of stronger-performing regions.</w:t>
      </w:r>
    </w:p>
    <w:p w14:paraId="261E88A4" w14:textId="77777777" w:rsidR="008058FA" w:rsidRPr="008058FA" w:rsidRDefault="008058FA" w:rsidP="008058FA">
      <w:pPr>
        <w:rPr>
          <w:b/>
          <w:bCs/>
        </w:rPr>
      </w:pPr>
      <w:r w:rsidRPr="008058FA">
        <w:rPr>
          <w:b/>
          <w:bCs/>
        </w:rPr>
        <w:t>5. Product-Level Profitability</w:t>
      </w:r>
    </w:p>
    <w:p w14:paraId="7C6CC382" w14:textId="77777777" w:rsidR="008058FA" w:rsidRPr="008058FA" w:rsidRDefault="008058FA" w:rsidP="008058FA">
      <w:r w:rsidRPr="008058FA">
        <w:t>Some products generate substantial sales but have low or negative profit. Revenue alone therefore does not fully represent product performance.</w:t>
      </w:r>
    </w:p>
    <w:p w14:paraId="73953A73" w14:textId="77777777" w:rsidR="008058FA" w:rsidRPr="008058FA" w:rsidRDefault="008058FA" w:rsidP="008058FA">
      <w:r w:rsidRPr="008058FA">
        <w:rPr>
          <w:b/>
          <w:bCs/>
        </w:rPr>
        <w:t>Recommendation:</w:t>
      </w:r>
      <w:r w:rsidRPr="008058FA">
        <w:t xml:space="preserve"> Review loss-making products individually, examining discounts, costs, and sales conditions before making pricing or assortment decisions.</w:t>
      </w:r>
    </w:p>
    <w:p w14:paraId="3EF04118" w14:textId="77777777" w:rsidR="008058FA" w:rsidRPr="008058FA" w:rsidRDefault="008058FA" w:rsidP="008058FA">
      <w:pPr>
        <w:rPr>
          <w:b/>
          <w:bCs/>
        </w:rPr>
      </w:pPr>
      <w:r w:rsidRPr="008058FA">
        <w:rPr>
          <w:b/>
          <w:bCs/>
        </w:rPr>
        <w:t>Conclusion</w:t>
      </w:r>
    </w:p>
    <w:p w14:paraId="21FDFE2D" w14:textId="77777777" w:rsidR="008058FA" w:rsidRPr="008058FA" w:rsidRDefault="008058FA" w:rsidP="008058FA">
      <w:r w:rsidRPr="008058FA">
        <w:t xml:space="preserve">The analysis highlights growth in sales, strong performance in Technology and the West region, and opportunities to investigate profitability in Furniture and the Central region. The </w:t>
      </w:r>
      <w:r w:rsidRPr="008058FA">
        <w:lastRenderedPageBreak/>
        <w:t>Power BI dashboard provides an interactive way to explore these patterns and support evidence-based business decisions.</w:t>
      </w:r>
    </w:p>
    <w:p w14:paraId="5F14884B" w14:textId="4DDA0FBC" w:rsidR="00510261" w:rsidRDefault="00510261"/>
    <w:sectPr w:rsidR="00510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8FA"/>
    <w:rsid w:val="002551B4"/>
    <w:rsid w:val="00510261"/>
    <w:rsid w:val="008058FA"/>
    <w:rsid w:val="00AE1D09"/>
    <w:rsid w:val="00CC3B31"/>
    <w:rsid w:val="00DB4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2CCEB"/>
  <w15:chartTrackingRefBased/>
  <w15:docId w15:val="{900FE115-46ED-41AF-A9CD-7270CA0BC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8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8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8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8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SHARIFF SIDDIQ</dc:creator>
  <cp:keywords/>
  <dc:description/>
  <cp:lastModifiedBy>SHARIFF SIDDIQ</cp:lastModifiedBy>
  <cp:revision>1</cp:revision>
  <dcterms:created xsi:type="dcterms:W3CDTF">2026-10-28T06:37:00Z</dcterms:created>
  <dcterms:modified xsi:type="dcterms:W3CDTF">2026-10-28T06:38:00Z</dcterms:modified>
</cp:coreProperties>
</file>