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A1F44"/>
          <w:sz w:val="36"/>
        </w:rPr>
        <w:t>EMERGING MARKETS INFRASTRUCTURE INTELLIGENCE BRIEF</w:t>
      </w:r>
    </w:p>
    <w:p>
      <w:pPr>
        <w:jc w:val="center"/>
      </w:pPr>
      <w:r>
        <w:rPr>
          <w:rFonts w:ascii="Calibri" w:hAnsi="Calibri"/>
          <w:b/>
          <w:color w:val="C89620"/>
          <w:sz w:val="26"/>
        </w:rPr>
        <w:t>WEEK OF JUNE 15, 2026</w:t>
      </w:r>
    </w:p>
    <w:p>
      <w:pPr>
        <w:jc w:val="center"/>
      </w:pPr>
      <w:r>
        <w:rPr>
          <w:rFonts w:ascii="Calibri" w:hAnsi="Calibri"/>
          <w:i/>
          <w:color w:val="333333"/>
          <w:sz w:val="20"/>
        </w:rPr>
        <w:t>Central Asia  ·  South Caucasus  ·  Türkiye  |  Middle Corridor Capital Deployment Monitor</w:t>
      </w:r>
    </w:p>
    <w:p>
      <w:pPr>
        <w:pBdr>
          <w:bottom w:val="single" w:sz="12" w:space="1" w:color="C89620"/>
        </w:pBdr>
        <w:spacing w:before="40" w:after="120"/>
      </w:pPr>
    </w:p>
    <w:p>
      <w:pPr>
        <w:spacing w:before="200" w:after="80"/>
        <w:jc w:val="left"/>
      </w:pPr>
      <w:r>
        <w:rPr>
          <w:rFonts w:ascii="Calibri" w:hAnsi="Calibri"/>
          <w:b/>
          <w:color w:val="0A1F44"/>
          <w:sz w:val="24"/>
        </w:rPr>
        <w:t>EXECUTIVE SUMMARY</w:t>
      </w:r>
    </w:p>
    <w:p>
      <w:pPr>
        <w:spacing w:after="80" w:before="0"/>
      </w:pPr>
      <w:r>
        <w:rPr>
          <w:rFonts w:ascii="Calibri" w:hAnsi="Calibri"/>
          <w:color w:val="333333"/>
          <w:sz w:val="19"/>
        </w:rPr>
        <w:t xml:space="preserve">Over </w:t>
      </w:r>
      <w:r>
        <w:rPr>
          <w:rFonts w:ascii="Calibri" w:hAnsi="Calibri"/>
          <w:b/>
          <w:color w:val="333333"/>
          <w:sz w:val="19"/>
        </w:rPr>
        <w:t>USD 12B+</w:t>
      </w:r>
      <w:r>
        <w:rPr>
          <w:rFonts w:ascii="Calibri" w:hAnsi="Calibri"/>
          <w:color w:val="333333"/>
          <w:sz w:val="19"/>
        </w:rPr>
        <w:t xml:space="preserve"> in multilateral development bank capital has been committed across the </w:t>
      </w:r>
      <w:r>
        <w:rPr>
          <w:rFonts w:ascii="Calibri" w:hAnsi="Calibri"/>
          <w:b/>
          <w:color w:val="333333"/>
          <w:sz w:val="19"/>
        </w:rPr>
        <w:t>Central Asia–South Caucasus–Türkiye corridor</w:t>
      </w:r>
      <w:r>
        <w:rPr>
          <w:rFonts w:ascii="Calibri" w:hAnsi="Calibri"/>
          <w:color w:val="333333"/>
          <w:sz w:val="19"/>
        </w:rPr>
        <w:t xml:space="preserve"> in the current cycle, anchored by coordinated sovereign and asset-level investments from </w:t>
      </w:r>
      <w:r>
        <w:rPr>
          <w:rFonts w:ascii="Calibri" w:hAnsi="Calibri"/>
          <w:b/>
          <w:color w:val="333333"/>
          <w:sz w:val="19"/>
        </w:rPr>
        <w:t>EBRD, World Bank, ADB, AIIB, IsDB, and EDB</w:t>
      </w:r>
      <w:r>
        <w:rPr>
          <w:rFonts w:ascii="Calibri" w:hAnsi="Calibri"/>
          <w:color w:val="333333"/>
          <w:sz w:val="19"/>
        </w:rPr>
        <w:t xml:space="preserve">. The dominant theme is </w:t>
      </w:r>
      <w:r>
        <w:rPr>
          <w:rFonts w:ascii="Calibri" w:hAnsi="Calibri"/>
          <w:b/>
          <w:color w:val="333333"/>
          <w:sz w:val="19"/>
        </w:rPr>
        <w:t>Middle Corridor throughput maximization</w:t>
      </w:r>
      <w:r>
        <w:rPr>
          <w:rFonts w:ascii="Calibri" w:hAnsi="Calibri"/>
          <w:color w:val="333333"/>
          <w:sz w:val="19"/>
        </w:rPr>
        <w:t xml:space="preserve">: a structurally permanent freight rerouting away from Russia, now backed by an end-to-end capital stack spanning </w:t>
      </w:r>
      <w:r>
        <w:rPr>
          <w:rFonts w:ascii="Calibri" w:hAnsi="Calibri"/>
          <w:b/>
          <w:color w:val="333333"/>
          <w:sz w:val="19"/>
        </w:rPr>
        <w:t>Eastern Kazakhstan to the Bosphorus</w:t>
      </w:r>
      <w:r>
        <w:rPr>
          <w:rFonts w:ascii="Calibri" w:hAnsi="Calibri"/>
          <w:color w:val="333333"/>
          <w:sz w:val="19"/>
        </w:rPr>
        <w:t xml:space="preserve">. The single most important forward signal is the </w:t>
      </w:r>
      <w:r>
        <w:rPr>
          <w:rFonts w:ascii="Calibri" w:hAnsi="Calibri"/>
          <w:b/>
          <w:color w:val="333333"/>
          <w:sz w:val="19"/>
        </w:rPr>
        <w:t>June 16–19 convergence of IsDB Baku Annual Meetings and TIIF Tashkent</w:t>
      </w:r>
      <w:r>
        <w:rPr>
          <w:rFonts w:ascii="Calibri" w:hAnsi="Calibri"/>
          <w:color w:val="333333"/>
          <w:sz w:val="19"/>
        </w:rPr>
        <w:t xml:space="preserve">, where an estimated </w:t>
      </w:r>
      <w:r>
        <w:rPr>
          <w:rFonts w:ascii="Calibri" w:hAnsi="Calibri"/>
          <w:b/>
          <w:color w:val="333333"/>
          <w:sz w:val="19"/>
        </w:rPr>
        <w:t>USD 436.67M Karabakh Irrigation signing</w:t>
      </w:r>
      <w:r>
        <w:rPr>
          <w:rFonts w:ascii="Calibri" w:hAnsi="Calibri"/>
          <w:color w:val="333333"/>
          <w:sz w:val="19"/>
        </w:rPr>
        <w:t xml:space="preserve"> and potential </w:t>
      </w:r>
      <w:r>
        <w:rPr>
          <w:rFonts w:ascii="Calibri" w:hAnsi="Calibri"/>
          <w:b/>
          <w:color w:val="333333"/>
          <w:sz w:val="19"/>
        </w:rPr>
        <w:t>NDB Uzbekistan debut</w:t>
      </w:r>
      <w:r>
        <w:rPr>
          <w:rFonts w:ascii="Calibri" w:hAnsi="Calibri"/>
          <w:color w:val="333333"/>
          <w:sz w:val="19"/>
        </w:rPr>
        <w:t xml:space="preserve"> will confirm whether diplomatic momentum is converting to disbursement-grade commitments.</w:t>
      </w:r>
    </w:p>
    <w:p>
      <w:pPr>
        <w:pBdr>
          <w:bottom w:val="single" w:sz="12" w:space="1" w:color="C89620"/>
        </w:pBdr>
        <w:spacing w:before="40" w:after="120"/>
      </w:pPr>
    </w:p>
    <w:p>
      <w:pPr>
        <w:spacing w:before="200" w:after="80"/>
        <w:jc w:val="left"/>
      </w:pPr>
      <w:r>
        <w:rPr>
          <w:rFonts w:ascii="Calibri" w:hAnsi="Calibri"/>
          <w:b/>
          <w:color w:val="0A1F44"/>
          <w:sz w:val="24"/>
        </w:rPr>
        <w:t>STRATEGIC DEVELOPMENTS PORTFOLIO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2154"/>
            <w:shd w:val="clear" w:color="auto" w:fill="0A1F4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Project</w:t>
            </w:r>
          </w:p>
        </w:tc>
        <w:tc>
          <w:tcPr>
            <w:tcW w:type="dxa" w:w="1587"/>
            <w:shd w:val="clear" w:color="auto" w:fill="0A1F4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Institution(s)</w:t>
            </w:r>
          </w:p>
        </w:tc>
        <w:tc>
          <w:tcPr>
            <w:tcW w:type="dxa" w:w="1417"/>
            <w:shd w:val="clear" w:color="auto" w:fill="0A1F4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Value</w:t>
            </w:r>
          </w:p>
        </w:tc>
        <w:tc>
          <w:tcPr>
            <w:tcW w:type="dxa" w:w="1020"/>
            <w:shd w:val="clear" w:color="auto" w:fill="0A1F4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Country</w:t>
            </w:r>
          </w:p>
        </w:tc>
        <w:tc>
          <w:tcPr>
            <w:tcW w:type="dxa" w:w="1247"/>
            <w:shd w:val="clear" w:color="auto" w:fill="0A1F4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Sector</w:t>
            </w:r>
          </w:p>
        </w:tc>
        <w:tc>
          <w:tcPr>
            <w:tcW w:type="dxa" w:w="2551"/>
            <w:shd w:val="clear" w:color="auto" w:fill="0A1F4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Signal</w:t>
            </w:r>
          </w:p>
        </w:tc>
      </w:tr>
      <w:tr>
        <w:tc>
          <w:tcPr>
            <w:tcW w:type="dxa" w:w="2154"/>
            <w:shd w:val="clear" w:color="auto" w:fill="F2F4F7"/>
            <w:vAlign w:val="top"/>
          </w:tcPr>
          <w:p>
            <w:r>
              <w:rPr>
                <w:rFonts w:ascii="Calibri" w:hAnsi="Calibri"/>
                <w:color w:val="333333"/>
                <w:sz w:val="16"/>
              </w:rPr>
              <w:t>INRAIL Istanbul North Rail Crossing</w:t>
            </w:r>
          </w:p>
        </w:tc>
        <w:tc>
          <w:tcPr>
            <w:tcW w:type="dxa" w:w="1587"/>
            <w:shd w:val="clear" w:color="auto" w:fill="F2F4F7"/>
            <w:vAlign w:val="top"/>
          </w:tcPr>
          <w:p>
            <w:r>
              <w:rPr>
                <w:rFonts w:ascii="Calibri" w:hAnsi="Calibri"/>
                <w:color w:val="333333"/>
                <w:sz w:val="16"/>
              </w:rPr>
            </w:r>
            <w:r>
              <w:rPr>
                <w:rFonts w:ascii="Calibri" w:hAnsi="Calibri"/>
                <w:b/>
                <w:color w:val="333333"/>
                <w:sz w:val="16"/>
              </w:rPr>
              <w:t>World Bank</w:t>
            </w:r>
            <w:r>
              <w:rPr>
                <w:rFonts w:ascii="Calibri" w:hAnsi="Calibri"/>
                <w:color w:val="333333"/>
                <w:sz w:val="16"/>
              </w:rPr>
              <w:t xml:space="preserve"> + 5 MDBs</w:t>
            </w:r>
          </w:p>
        </w:tc>
        <w:tc>
          <w:tcPr>
            <w:tcW w:type="dxa" w:w="1417"/>
            <w:shd w:val="clear" w:color="auto" w:fill="F2F4F7"/>
            <w:vAlign w:val="top"/>
          </w:tcPr>
          <w:p>
            <w:r>
              <w:rPr>
                <w:rFonts w:ascii="Calibri" w:hAnsi="Calibri"/>
                <w:color w:val="333333"/>
                <w:sz w:val="16"/>
              </w:rPr>
            </w:r>
            <w:r>
              <w:rPr>
                <w:rFonts w:ascii="Calibri" w:hAnsi="Calibri"/>
                <w:b/>
                <w:color w:val="333333"/>
                <w:sz w:val="16"/>
              </w:rPr>
              <w:t>USD 6.75B</w:t>
            </w:r>
            <w:r>
              <w:rPr>
                <w:rFonts w:ascii="Calibri" w:hAnsi="Calibri"/>
                <w:color w:val="333333"/>
                <w:sz w:val="16"/>
              </w:rPr>
            </w:r>
          </w:p>
        </w:tc>
        <w:tc>
          <w:tcPr>
            <w:tcW w:type="dxa" w:w="1020"/>
            <w:shd w:val="clear" w:color="auto" w:fill="F2F4F7"/>
            <w:vAlign w:val="top"/>
          </w:tcPr>
          <w:p>
            <w:r>
              <w:rPr>
                <w:rFonts w:ascii="Calibri" w:hAnsi="Calibri"/>
                <w:color w:val="333333"/>
                <w:sz w:val="16"/>
              </w:rPr>
            </w:r>
            <w:r>
              <w:rPr>
                <w:rFonts w:ascii="Calibri" w:hAnsi="Calibri"/>
                <w:b/>
                <w:color w:val="333333"/>
                <w:sz w:val="16"/>
              </w:rPr>
              <w:t>Türkiye</w:t>
            </w:r>
            <w:r>
              <w:rPr>
                <w:rFonts w:ascii="Calibri" w:hAnsi="Calibri"/>
                <w:color w:val="333333"/>
                <w:sz w:val="16"/>
              </w:rPr>
            </w:r>
          </w:p>
        </w:tc>
        <w:tc>
          <w:tcPr>
            <w:tcW w:type="dxa" w:w="1247"/>
            <w:shd w:val="clear" w:color="auto" w:fill="F2F4F7"/>
            <w:vAlign w:val="top"/>
          </w:tcPr>
          <w:p>
            <w:r>
              <w:rPr>
                <w:rFonts w:ascii="Calibri" w:hAnsi="Calibri"/>
                <w:color w:val="333333"/>
                <w:sz w:val="16"/>
              </w:rPr>
              <w:t>Rail / Bosphorus freight</w:t>
            </w:r>
          </w:p>
        </w:tc>
        <w:tc>
          <w:tcPr>
            <w:tcW w:type="dxa" w:w="2551"/>
            <w:shd w:val="clear" w:color="auto" w:fill="F2F4F7"/>
            <w:vAlign w:val="top"/>
          </w:tcPr>
          <w:p>
            <w:r>
              <w:rPr>
                <w:rFonts w:ascii="Calibri" w:hAnsi="Calibri"/>
                <w:color w:val="333333"/>
                <w:sz w:val="16"/>
              </w:rPr>
              <w:t>Transforms cross-Bosphorus freight capacity from 3M to 50M tonnes/yr — western terminus anchor of the entire Middle Corridor.</w:t>
            </w:r>
          </w:p>
        </w:tc>
      </w:tr>
      <w:tr>
        <w:tc>
          <w:tcPr>
            <w:tcW w:type="dxa" w:w="2154"/>
            <w:shd w:val="clear" w:color="auto" w:fill="FFFFFF"/>
            <w:vAlign w:val="top"/>
          </w:tcPr>
          <w:p>
            <w:r>
              <w:rPr>
                <w:rFonts w:ascii="Calibri" w:hAnsi="Calibri"/>
                <w:color w:val="333333"/>
                <w:sz w:val="16"/>
              </w:rPr>
              <w:t>TC-GATE Georgia Rail Electrification</w:t>
            </w:r>
          </w:p>
        </w:tc>
        <w:tc>
          <w:tcPr>
            <w:tcW w:type="dxa" w:w="1587"/>
            <w:shd w:val="clear" w:color="auto" w:fill="FFFFFF"/>
            <w:vAlign w:val="top"/>
          </w:tcPr>
          <w:p>
            <w:r>
              <w:rPr>
                <w:rFonts w:ascii="Calibri" w:hAnsi="Calibri"/>
                <w:color w:val="333333"/>
                <w:sz w:val="16"/>
              </w:rPr>
            </w:r>
            <w:r>
              <w:rPr>
                <w:rFonts w:ascii="Calibri" w:hAnsi="Calibri"/>
                <w:b/>
                <w:color w:val="333333"/>
                <w:sz w:val="16"/>
              </w:rPr>
              <w:t>World Bank</w:t>
            </w:r>
            <w:r>
              <w:rPr>
                <w:rFonts w:ascii="Calibri" w:hAnsi="Calibri"/>
                <w:color w:val="333333"/>
                <w:sz w:val="16"/>
              </w:rPr>
              <w:t xml:space="preserve"> + </w:t>
            </w:r>
            <w:r>
              <w:rPr>
                <w:rFonts w:ascii="Calibri" w:hAnsi="Calibri"/>
                <w:b/>
                <w:color w:val="333333"/>
                <w:sz w:val="16"/>
              </w:rPr>
              <w:t>ADB</w:t>
            </w:r>
            <w:r>
              <w:rPr>
                <w:rFonts w:ascii="Calibri" w:hAnsi="Calibri"/>
                <w:color w:val="333333"/>
                <w:sz w:val="16"/>
              </w:rPr>
              <w:t xml:space="preserve"> + </w:t>
            </w:r>
            <w:r>
              <w:rPr>
                <w:rFonts w:ascii="Calibri" w:hAnsi="Calibri"/>
                <w:b/>
                <w:color w:val="333333"/>
                <w:sz w:val="16"/>
              </w:rPr>
              <w:t>AIIB</w:t>
            </w:r>
            <w:r>
              <w:rPr>
                <w:rFonts w:ascii="Calibri" w:hAnsi="Calibri"/>
                <w:color w:val="333333"/>
                <w:sz w:val="16"/>
              </w:rPr>
            </w:r>
          </w:p>
        </w:tc>
        <w:tc>
          <w:tcPr>
            <w:tcW w:type="dxa" w:w="1417"/>
            <w:shd w:val="clear" w:color="auto" w:fill="FFFFFF"/>
            <w:vAlign w:val="top"/>
          </w:tcPr>
          <w:p>
            <w:r>
              <w:rPr>
                <w:rFonts w:ascii="Calibri" w:hAnsi="Calibri"/>
                <w:color w:val="333333"/>
                <w:sz w:val="16"/>
              </w:rPr>
            </w:r>
            <w:r>
              <w:rPr>
                <w:rFonts w:ascii="Calibri" w:hAnsi="Calibri"/>
                <w:b/>
                <w:color w:val="333333"/>
                <w:sz w:val="16"/>
              </w:rPr>
              <w:t>USD 729M</w:t>
            </w:r>
            <w:r>
              <w:rPr>
                <w:rFonts w:ascii="Calibri" w:hAnsi="Calibri"/>
                <w:color w:val="333333"/>
                <w:sz w:val="16"/>
              </w:rPr>
            </w:r>
          </w:p>
        </w:tc>
        <w:tc>
          <w:tcPr>
            <w:tcW w:type="dxa" w:w="1020"/>
            <w:shd w:val="clear" w:color="auto" w:fill="FFFFFF"/>
            <w:vAlign w:val="top"/>
          </w:tcPr>
          <w:p>
            <w:r>
              <w:rPr>
                <w:rFonts w:ascii="Calibri" w:hAnsi="Calibri"/>
                <w:color w:val="333333"/>
                <w:sz w:val="16"/>
              </w:rPr>
            </w:r>
            <w:r>
              <w:rPr>
                <w:rFonts w:ascii="Calibri" w:hAnsi="Calibri"/>
                <w:b/>
                <w:color w:val="333333"/>
                <w:sz w:val="16"/>
              </w:rPr>
              <w:t>Georgia</w:t>
            </w:r>
            <w:r>
              <w:rPr>
                <w:rFonts w:ascii="Calibri" w:hAnsi="Calibri"/>
                <w:color w:val="333333"/>
                <w:sz w:val="16"/>
              </w:rPr>
            </w:r>
          </w:p>
        </w:tc>
        <w:tc>
          <w:tcPr>
            <w:tcW w:type="dxa" w:w="1247"/>
            <w:shd w:val="clear" w:color="auto" w:fill="FFFFFF"/>
            <w:vAlign w:val="top"/>
          </w:tcPr>
          <w:p>
            <w:r>
              <w:rPr>
                <w:rFonts w:ascii="Calibri" w:hAnsi="Calibri"/>
                <w:color w:val="333333"/>
                <w:sz w:val="16"/>
              </w:rPr>
              <w:t>Rail / corridor</w:t>
            </w:r>
          </w:p>
        </w:tc>
        <w:tc>
          <w:tcPr>
            <w:tcW w:type="dxa" w:w="2551"/>
            <w:shd w:val="clear" w:color="auto" w:fill="FFFFFF"/>
            <w:vAlign w:val="top"/>
          </w:tcPr>
          <w:p>
            <w:r>
              <w:rPr>
                <w:rFonts w:ascii="Calibri" w:hAnsi="Calibri"/>
                <w:color w:val="333333"/>
                <w:sz w:val="16"/>
              </w:rPr>
              <w:t>Three-MDB coalition resolves Georgia's binding throughput constraint (3–6M t/yr); irreplaceable land bridge node unlocked.</w:t>
            </w:r>
          </w:p>
        </w:tc>
      </w:tr>
      <w:tr>
        <w:tc>
          <w:tcPr>
            <w:tcW w:type="dxa" w:w="2154"/>
            <w:shd w:val="clear" w:color="auto" w:fill="F2F4F7"/>
            <w:vAlign w:val="top"/>
          </w:tcPr>
          <w:p>
            <w:r>
              <w:rPr>
                <w:rFonts w:ascii="Calibri" w:hAnsi="Calibri"/>
                <w:color w:val="333333"/>
                <w:sz w:val="16"/>
              </w:rPr>
              <w:t>KTZ Mointy–Kyzylzhar Greenfield Rail (322 km)</w:t>
            </w:r>
          </w:p>
        </w:tc>
        <w:tc>
          <w:tcPr>
            <w:tcW w:type="dxa" w:w="1587"/>
            <w:shd w:val="clear" w:color="auto" w:fill="F2F4F7"/>
            <w:vAlign w:val="top"/>
          </w:tcPr>
          <w:p>
            <w:r>
              <w:rPr>
                <w:rFonts w:ascii="Calibri" w:hAnsi="Calibri"/>
                <w:color w:val="333333"/>
                <w:sz w:val="16"/>
              </w:rPr>
            </w:r>
            <w:r>
              <w:rPr>
                <w:rFonts w:ascii="Calibri" w:hAnsi="Calibri"/>
                <w:b/>
                <w:color w:val="333333"/>
                <w:sz w:val="16"/>
              </w:rPr>
              <w:t>World Bank</w:t>
            </w:r>
            <w:r>
              <w:rPr>
                <w:rFonts w:ascii="Calibri" w:hAnsi="Calibri"/>
                <w:color w:val="333333"/>
                <w:sz w:val="16"/>
              </w:rPr>
              <w:t xml:space="preserve"> + </w:t>
            </w:r>
            <w:r>
              <w:rPr>
                <w:rFonts w:ascii="Calibri" w:hAnsi="Calibri"/>
                <w:b/>
                <w:color w:val="333333"/>
                <w:sz w:val="16"/>
              </w:rPr>
              <w:t>AIIB</w:t>
            </w:r>
            <w:r>
              <w:rPr>
                <w:rFonts w:ascii="Calibri" w:hAnsi="Calibri"/>
                <w:color w:val="333333"/>
                <w:sz w:val="16"/>
              </w:rPr>
            </w:r>
          </w:p>
        </w:tc>
        <w:tc>
          <w:tcPr>
            <w:tcW w:type="dxa" w:w="1417"/>
            <w:shd w:val="clear" w:color="auto" w:fill="F2F4F7"/>
            <w:vAlign w:val="top"/>
          </w:tcPr>
          <w:p>
            <w:r>
              <w:rPr>
                <w:rFonts w:ascii="Calibri" w:hAnsi="Calibri"/>
                <w:color w:val="333333"/>
                <w:sz w:val="16"/>
              </w:rPr>
            </w:r>
            <w:r>
              <w:rPr>
                <w:rFonts w:ascii="Calibri" w:hAnsi="Calibri"/>
                <w:b/>
                <w:color w:val="333333"/>
                <w:sz w:val="16"/>
              </w:rPr>
              <w:t>USD 1.41B</w:t>
            </w:r>
            <w:r>
              <w:rPr>
                <w:rFonts w:ascii="Calibri" w:hAnsi="Calibri"/>
                <w:color w:val="333333"/>
                <w:sz w:val="16"/>
              </w:rPr>
            </w:r>
          </w:p>
        </w:tc>
        <w:tc>
          <w:tcPr>
            <w:tcW w:type="dxa" w:w="1020"/>
            <w:shd w:val="clear" w:color="auto" w:fill="F2F4F7"/>
            <w:vAlign w:val="top"/>
          </w:tcPr>
          <w:p>
            <w:r>
              <w:rPr>
                <w:rFonts w:ascii="Calibri" w:hAnsi="Calibri"/>
                <w:color w:val="333333"/>
                <w:sz w:val="16"/>
              </w:rPr>
            </w:r>
            <w:r>
              <w:rPr>
                <w:rFonts w:ascii="Calibri" w:hAnsi="Calibri"/>
                <w:b/>
                <w:color w:val="333333"/>
                <w:sz w:val="16"/>
              </w:rPr>
              <w:t>Kazakhstan</w:t>
            </w:r>
            <w:r>
              <w:rPr>
                <w:rFonts w:ascii="Calibri" w:hAnsi="Calibri"/>
                <w:color w:val="333333"/>
                <w:sz w:val="16"/>
              </w:rPr>
            </w:r>
          </w:p>
        </w:tc>
        <w:tc>
          <w:tcPr>
            <w:tcW w:type="dxa" w:w="1247"/>
            <w:shd w:val="clear" w:color="auto" w:fill="F2F4F7"/>
            <w:vAlign w:val="top"/>
          </w:tcPr>
          <w:p>
            <w:r>
              <w:rPr>
                <w:rFonts w:ascii="Calibri" w:hAnsi="Calibri"/>
                <w:color w:val="333333"/>
                <w:sz w:val="16"/>
              </w:rPr>
              <w:t>Rail</w:t>
            </w:r>
          </w:p>
        </w:tc>
        <w:tc>
          <w:tcPr>
            <w:tcW w:type="dxa" w:w="2551"/>
            <w:shd w:val="clear" w:color="auto" w:fill="F2F4F7"/>
            <w:vAlign w:val="top"/>
          </w:tcPr>
          <w:p>
            <w:r>
              <w:rPr>
                <w:rFonts w:ascii="Calibri" w:hAnsi="Calibri"/>
                <w:color w:val="333333"/>
                <w:sz w:val="16"/>
              </w:rPr>
              <w:t>Eastern Kazakhstan corridor spine; value stranded without TC-GATE resolution — now connected.</w:t>
            </w:r>
          </w:p>
        </w:tc>
      </w:tr>
      <w:tr>
        <w:tc>
          <w:tcPr>
            <w:tcW w:type="dxa" w:w="2154"/>
            <w:shd w:val="clear" w:color="auto" w:fill="FFFFFF"/>
            <w:vAlign w:val="top"/>
          </w:tcPr>
          <w:p>
            <w:r>
              <w:rPr>
                <w:rFonts w:ascii="Calibri" w:hAnsi="Calibri"/>
                <w:color w:val="333333"/>
                <w:sz w:val="16"/>
              </w:rPr>
              <w:t>EBRD Regional Support Programme</w:t>
            </w:r>
          </w:p>
        </w:tc>
        <w:tc>
          <w:tcPr>
            <w:tcW w:type="dxa" w:w="1587"/>
            <w:shd w:val="clear" w:color="auto" w:fill="FFFFFF"/>
            <w:vAlign w:val="top"/>
          </w:tcPr>
          <w:p>
            <w:r>
              <w:rPr>
                <w:rFonts w:ascii="Calibri" w:hAnsi="Calibri"/>
                <w:color w:val="333333"/>
                <w:sz w:val="16"/>
              </w:rPr>
            </w:r>
            <w:r>
              <w:rPr>
                <w:rFonts w:ascii="Calibri" w:hAnsi="Calibri"/>
                <w:b/>
                <w:color w:val="333333"/>
                <w:sz w:val="16"/>
              </w:rPr>
              <w:t>EBRD</w:t>
            </w:r>
            <w:r>
              <w:rPr>
                <w:rFonts w:ascii="Calibri" w:hAnsi="Calibri"/>
                <w:color w:val="333333"/>
                <w:sz w:val="16"/>
              </w:rPr>
              <w:t xml:space="preserve"> + </w:t>
            </w:r>
            <w:r>
              <w:rPr>
                <w:rFonts w:ascii="Calibri" w:hAnsi="Calibri"/>
                <w:b/>
                <w:color w:val="333333"/>
                <w:sz w:val="16"/>
              </w:rPr>
              <w:t>EU</w:t>
            </w:r>
            <w:r>
              <w:rPr>
                <w:rFonts w:ascii="Calibri" w:hAnsi="Calibri"/>
                <w:color w:val="333333"/>
                <w:sz w:val="16"/>
              </w:rPr>
            </w:r>
          </w:p>
        </w:tc>
        <w:tc>
          <w:tcPr>
            <w:tcW w:type="dxa" w:w="1417"/>
            <w:shd w:val="clear" w:color="auto" w:fill="FFFFFF"/>
            <w:vAlign w:val="top"/>
          </w:tcPr>
          <w:p>
            <w:r>
              <w:rPr>
                <w:rFonts w:ascii="Calibri" w:hAnsi="Calibri"/>
                <w:color w:val="333333"/>
                <w:sz w:val="16"/>
              </w:rPr>
            </w:r>
            <w:r>
              <w:rPr>
                <w:rFonts w:ascii="Calibri" w:hAnsi="Calibri"/>
                <w:b/>
                <w:color w:val="333333"/>
                <w:sz w:val="16"/>
              </w:rPr>
              <w:t>EUR 5B</w:t>
            </w:r>
            <w:r>
              <w:rPr>
                <w:rFonts w:ascii="Calibri" w:hAnsi="Calibri"/>
                <w:color w:val="333333"/>
                <w:sz w:val="16"/>
              </w:rPr>
            </w:r>
          </w:p>
        </w:tc>
        <w:tc>
          <w:tcPr>
            <w:tcW w:type="dxa" w:w="1020"/>
            <w:shd w:val="clear" w:color="auto" w:fill="FFFFFF"/>
            <w:vAlign w:val="top"/>
          </w:tcPr>
          <w:p>
            <w:r>
              <w:rPr>
                <w:rFonts w:ascii="Calibri" w:hAnsi="Calibri"/>
                <w:color w:val="333333"/>
                <w:sz w:val="16"/>
              </w:rPr>
            </w:r>
            <w:r>
              <w:rPr>
                <w:rFonts w:ascii="Calibri" w:hAnsi="Calibri"/>
                <w:b/>
                <w:color w:val="333333"/>
                <w:sz w:val="16"/>
              </w:rPr>
              <w:t>Azerbaijan</w:t>
            </w:r>
            <w:r>
              <w:rPr>
                <w:rFonts w:ascii="Calibri" w:hAnsi="Calibri"/>
                <w:color w:val="333333"/>
                <w:sz w:val="16"/>
              </w:rPr>
            </w:r>
          </w:p>
        </w:tc>
        <w:tc>
          <w:tcPr>
            <w:tcW w:type="dxa" w:w="1247"/>
            <w:shd w:val="clear" w:color="auto" w:fill="FFFFFF"/>
            <w:vAlign w:val="top"/>
          </w:tcPr>
          <w:p>
            <w:r>
              <w:rPr>
                <w:rFonts w:ascii="Calibri" w:hAnsi="Calibri"/>
                <w:color w:val="333333"/>
                <w:sz w:val="16"/>
              </w:rPr>
              <w:t>Multi-sector</w:t>
            </w:r>
          </w:p>
        </w:tc>
        <w:tc>
          <w:tcPr>
            <w:tcW w:type="dxa" w:w="2551"/>
            <w:shd w:val="clear" w:color="auto" w:fill="FFFFFF"/>
            <w:vAlign w:val="top"/>
          </w:tcPr>
          <w:p>
            <w:r>
              <w:rPr>
                <w:rFonts w:ascii="Calibri" w:hAnsi="Calibri"/>
                <w:color w:val="333333"/>
                <w:sz w:val="16"/>
              </w:rPr>
              <w:t>Largest single EBRD envelope in-window; Karabakh reconstruction + SME + green urban transition simultaneously.</w:t>
            </w:r>
          </w:p>
        </w:tc>
      </w:tr>
      <w:tr>
        <w:tc>
          <w:tcPr>
            <w:tcW w:type="dxa" w:w="2154"/>
            <w:shd w:val="clear" w:color="auto" w:fill="F2F4F7"/>
            <w:vAlign w:val="top"/>
          </w:tcPr>
          <w:p>
            <w:r>
              <w:rPr>
                <w:rFonts w:ascii="Calibri" w:hAnsi="Calibri"/>
                <w:color w:val="333333"/>
                <w:sz w:val="16"/>
              </w:rPr>
              <w:t>EBRD–Kazakhstan EPFA + KTZ Eurobond</w:t>
            </w:r>
          </w:p>
        </w:tc>
        <w:tc>
          <w:tcPr>
            <w:tcW w:type="dxa" w:w="1587"/>
            <w:shd w:val="clear" w:color="auto" w:fill="F2F4F7"/>
            <w:vAlign w:val="top"/>
          </w:tcPr>
          <w:p>
            <w:r>
              <w:rPr>
                <w:rFonts w:ascii="Calibri" w:hAnsi="Calibri"/>
                <w:color w:val="333333"/>
                <w:sz w:val="16"/>
              </w:rPr>
            </w:r>
            <w:r>
              <w:rPr>
                <w:rFonts w:ascii="Calibri" w:hAnsi="Calibri"/>
                <w:b/>
                <w:color w:val="333333"/>
                <w:sz w:val="16"/>
              </w:rPr>
              <w:t>EBRD</w:t>
            </w:r>
            <w:r>
              <w:rPr>
                <w:rFonts w:ascii="Calibri" w:hAnsi="Calibri"/>
                <w:color w:val="333333"/>
                <w:sz w:val="16"/>
              </w:rPr>
            </w:r>
          </w:p>
        </w:tc>
        <w:tc>
          <w:tcPr>
            <w:tcW w:type="dxa" w:w="1417"/>
            <w:shd w:val="clear" w:color="auto" w:fill="F2F4F7"/>
            <w:vAlign w:val="top"/>
          </w:tcPr>
          <w:p>
            <w:r>
              <w:rPr>
                <w:rFonts w:ascii="Calibri" w:hAnsi="Calibri"/>
                <w:color w:val="333333"/>
                <w:sz w:val="16"/>
              </w:rPr>
            </w:r>
            <w:r>
              <w:rPr>
                <w:rFonts w:ascii="Calibri" w:hAnsi="Calibri"/>
                <w:b/>
                <w:color w:val="333333"/>
                <w:sz w:val="16"/>
              </w:rPr>
              <w:t>EUR 12M grants + USD 125M bond</w:t>
            </w:r>
            <w:r>
              <w:rPr>
                <w:rFonts w:ascii="Calibri" w:hAnsi="Calibri"/>
                <w:color w:val="333333"/>
                <w:sz w:val="16"/>
              </w:rPr>
            </w:r>
          </w:p>
        </w:tc>
        <w:tc>
          <w:tcPr>
            <w:tcW w:type="dxa" w:w="1020"/>
            <w:shd w:val="clear" w:color="auto" w:fill="F2F4F7"/>
            <w:vAlign w:val="top"/>
          </w:tcPr>
          <w:p>
            <w:r>
              <w:rPr>
                <w:rFonts w:ascii="Calibri" w:hAnsi="Calibri"/>
                <w:color w:val="333333"/>
                <w:sz w:val="16"/>
              </w:rPr>
            </w:r>
            <w:r>
              <w:rPr>
                <w:rFonts w:ascii="Calibri" w:hAnsi="Calibri"/>
                <w:b/>
                <w:color w:val="333333"/>
                <w:sz w:val="16"/>
              </w:rPr>
              <w:t>Kazakhstan</w:t>
            </w:r>
            <w:r>
              <w:rPr>
                <w:rFonts w:ascii="Calibri" w:hAnsi="Calibri"/>
                <w:color w:val="333333"/>
                <w:sz w:val="16"/>
              </w:rPr>
            </w:r>
          </w:p>
        </w:tc>
        <w:tc>
          <w:tcPr>
            <w:tcW w:type="dxa" w:w="1247"/>
            <w:shd w:val="clear" w:color="auto" w:fill="F2F4F7"/>
            <w:vAlign w:val="top"/>
          </w:tcPr>
          <w:p>
            <w:r>
              <w:rPr>
                <w:rFonts w:ascii="Calibri" w:hAnsi="Calibri"/>
                <w:color w:val="333333"/>
                <w:sz w:val="16"/>
              </w:rPr>
              <w:t>Rail / sovereign policy</w:t>
            </w:r>
          </w:p>
        </w:tc>
        <w:tc>
          <w:tcPr>
            <w:tcW w:type="dxa" w:w="2551"/>
            <w:shd w:val="clear" w:color="auto" w:fill="F2F4F7"/>
            <w:vAlign w:val="top"/>
          </w:tcPr>
          <w:p>
            <w:r>
              <w:rPr>
                <w:rFonts w:ascii="Calibri" w:hAnsi="Calibri"/>
                <w:color w:val="333333"/>
                <w:sz w:val="16"/>
              </w:rPr>
              <w:t>Dual-track: sovereign policy alignment (EPFA) + asset-level capital (Eurobond); Middle Corridor institutional anchor.</w:t>
            </w:r>
          </w:p>
        </w:tc>
      </w:tr>
      <w:tr>
        <w:tc>
          <w:tcPr>
            <w:tcW w:type="dxa" w:w="2154"/>
            <w:shd w:val="clear" w:color="auto" w:fill="FFFFFF"/>
            <w:vAlign w:val="top"/>
          </w:tcPr>
          <w:p>
            <w:r>
              <w:rPr>
                <w:rFonts w:ascii="Calibri" w:hAnsi="Calibri"/>
                <w:color w:val="333333"/>
                <w:sz w:val="16"/>
              </w:rPr>
              <w:t>IsDB Kazakhstan Special Economic &amp; Industrial Zones</w:t>
            </w:r>
          </w:p>
        </w:tc>
        <w:tc>
          <w:tcPr>
            <w:tcW w:type="dxa" w:w="1587"/>
            <w:shd w:val="clear" w:color="auto" w:fill="FFFFFF"/>
            <w:vAlign w:val="top"/>
          </w:tcPr>
          <w:p>
            <w:r>
              <w:rPr>
                <w:rFonts w:ascii="Calibri" w:hAnsi="Calibri"/>
                <w:color w:val="333333"/>
                <w:sz w:val="16"/>
              </w:rPr>
            </w:r>
            <w:r>
              <w:rPr>
                <w:rFonts w:ascii="Calibri" w:hAnsi="Calibri"/>
                <w:b/>
                <w:color w:val="333333"/>
                <w:sz w:val="16"/>
              </w:rPr>
              <w:t>IsDB</w:t>
            </w:r>
            <w:r>
              <w:rPr>
                <w:rFonts w:ascii="Calibri" w:hAnsi="Calibri"/>
                <w:color w:val="333333"/>
                <w:sz w:val="16"/>
              </w:rPr>
            </w:r>
          </w:p>
        </w:tc>
        <w:tc>
          <w:tcPr>
            <w:tcW w:type="dxa" w:w="1417"/>
            <w:shd w:val="clear" w:color="auto" w:fill="FFFFFF"/>
            <w:vAlign w:val="top"/>
          </w:tcPr>
          <w:p>
            <w:r>
              <w:rPr>
                <w:rFonts w:ascii="Calibri" w:hAnsi="Calibri"/>
                <w:color w:val="333333"/>
                <w:sz w:val="16"/>
              </w:rPr>
            </w:r>
            <w:r>
              <w:rPr>
                <w:rFonts w:ascii="Calibri" w:hAnsi="Calibri"/>
                <w:b/>
                <w:color w:val="333333"/>
                <w:sz w:val="16"/>
              </w:rPr>
              <w:t>USD 1.307B</w:t>
            </w:r>
            <w:r>
              <w:rPr>
                <w:rFonts w:ascii="Calibri" w:hAnsi="Calibri"/>
                <w:color w:val="333333"/>
                <w:sz w:val="16"/>
              </w:rPr>
            </w:r>
          </w:p>
        </w:tc>
        <w:tc>
          <w:tcPr>
            <w:tcW w:type="dxa" w:w="1020"/>
            <w:shd w:val="clear" w:color="auto" w:fill="FFFFFF"/>
            <w:vAlign w:val="top"/>
          </w:tcPr>
          <w:p>
            <w:r>
              <w:rPr>
                <w:rFonts w:ascii="Calibri" w:hAnsi="Calibri"/>
                <w:color w:val="333333"/>
                <w:sz w:val="16"/>
              </w:rPr>
            </w:r>
            <w:r>
              <w:rPr>
                <w:rFonts w:ascii="Calibri" w:hAnsi="Calibri"/>
                <w:b/>
                <w:color w:val="333333"/>
                <w:sz w:val="16"/>
              </w:rPr>
              <w:t>Kazakhstan</w:t>
            </w:r>
            <w:r>
              <w:rPr>
                <w:rFonts w:ascii="Calibri" w:hAnsi="Calibri"/>
                <w:color w:val="333333"/>
                <w:sz w:val="16"/>
              </w:rPr>
            </w:r>
          </w:p>
        </w:tc>
        <w:tc>
          <w:tcPr>
            <w:tcW w:type="dxa" w:w="1247"/>
            <w:shd w:val="clear" w:color="auto" w:fill="FFFFFF"/>
            <w:vAlign w:val="top"/>
          </w:tcPr>
          <w:p>
            <w:r>
              <w:rPr>
                <w:rFonts w:ascii="Calibri" w:hAnsi="Calibri"/>
                <w:color w:val="333333"/>
                <w:sz w:val="16"/>
              </w:rPr>
              <w:t>Industrial / SEZ</w:t>
            </w:r>
          </w:p>
        </w:tc>
        <w:tc>
          <w:tcPr>
            <w:tcW w:type="dxa" w:w="2551"/>
            <w:shd w:val="clear" w:color="auto" w:fill="FFFFFF"/>
            <w:vAlign w:val="top"/>
          </w:tcPr>
          <w:p>
            <w:r>
              <w:rPr>
                <w:rFonts w:ascii="Calibri" w:hAnsi="Calibri"/>
                <w:color w:val="333333"/>
                <w:sz w:val="16"/>
              </w:rPr>
              <w:t>Largest IsDB commitment in Kazakhstan on record; GCC capital as structural co-financier of corridor-adjacent industry.</w:t>
            </w:r>
          </w:p>
        </w:tc>
      </w:tr>
      <w:tr>
        <w:tc>
          <w:tcPr>
            <w:tcW w:type="dxa" w:w="2154"/>
            <w:shd w:val="clear" w:color="auto" w:fill="F2F4F7"/>
            <w:vAlign w:val="top"/>
          </w:tcPr>
          <w:p>
            <w:r>
              <w:rPr>
                <w:rFonts w:ascii="Calibri" w:hAnsi="Calibri"/>
                <w:color w:val="333333"/>
                <w:sz w:val="16"/>
              </w:rPr>
              <w:t>EBRD + IFC Türkiye Industrial Decarbonization (TIDIP)</w:t>
            </w:r>
          </w:p>
        </w:tc>
        <w:tc>
          <w:tcPr>
            <w:tcW w:type="dxa" w:w="1587"/>
            <w:shd w:val="clear" w:color="auto" w:fill="F2F4F7"/>
            <w:vAlign w:val="top"/>
          </w:tcPr>
          <w:p>
            <w:r>
              <w:rPr>
                <w:rFonts w:ascii="Calibri" w:hAnsi="Calibri"/>
                <w:color w:val="333333"/>
                <w:sz w:val="16"/>
              </w:rPr>
            </w:r>
            <w:r>
              <w:rPr>
                <w:rFonts w:ascii="Calibri" w:hAnsi="Calibri"/>
                <w:b/>
                <w:color w:val="333333"/>
                <w:sz w:val="16"/>
              </w:rPr>
              <w:t>EBRD</w:t>
            </w:r>
            <w:r>
              <w:rPr>
                <w:rFonts w:ascii="Calibri" w:hAnsi="Calibri"/>
                <w:color w:val="333333"/>
                <w:sz w:val="16"/>
              </w:rPr>
              <w:t xml:space="preserve"> + </w:t>
            </w:r>
            <w:r>
              <w:rPr>
                <w:rFonts w:ascii="Calibri" w:hAnsi="Calibri"/>
                <w:b/>
                <w:color w:val="333333"/>
                <w:sz w:val="16"/>
              </w:rPr>
              <w:t>IFC</w:t>
            </w:r>
            <w:r>
              <w:rPr>
                <w:rFonts w:ascii="Calibri" w:hAnsi="Calibri"/>
                <w:color w:val="333333"/>
                <w:sz w:val="16"/>
              </w:rPr>
            </w:r>
          </w:p>
        </w:tc>
        <w:tc>
          <w:tcPr>
            <w:tcW w:type="dxa" w:w="1417"/>
            <w:shd w:val="clear" w:color="auto" w:fill="F2F4F7"/>
            <w:vAlign w:val="top"/>
          </w:tcPr>
          <w:p>
            <w:r>
              <w:rPr>
                <w:rFonts w:ascii="Calibri" w:hAnsi="Calibri"/>
                <w:color w:val="333333"/>
                <w:sz w:val="16"/>
              </w:rPr>
            </w:r>
            <w:r>
              <w:rPr>
                <w:rFonts w:ascii="Calibri" w:hAnsi="Calibri"/>
                <w:b/>
                <w:color w:val="333333"/>
                <w:sz w:val="16"/>
              </w:rPr>
              <w:t>EUR 5B (2030 target)</w:t>
            </w:r>
            <w:r>
              <w:rPr>
                <w:rFonts w:ascii="Calibri" w:hAnsi="Calibri"/>
                <w:color w:val="333333"/>
                <w:sz w:val="16"/>
              </w:rPr>
            </w:r>
          </w:p>
        </w:tc>
        <w:tc>
          <w:tcPr>
            <w:tcW w:type="dxa" w:w="1020"/>
            <w:shd w:val="clear" w:color="auto" w:fill="F2F4F7"/>
            <w:vAlign w:val="top"/>
          </w:tcPr>
          <w:p>
            <w:r>
              <w:rPr>
                <w:rFonts w:ascii="Calibri" w:hAnsi="Calibri"/>
                <w:color w:val="333333"/>
                <w:sz w:val="16"/>
              </w:rPr>
            </w:r>
            <w:r>
              <w:rPr>
                <w:rFonts w:ascii="Calibri" w:hAnsi="Calibri"/>
                <w:b/>
                <w:color w:val="333333"/>
                <w:sz w:val="16"/>
              </w:rPr>
              <w:t>Türkiye</w:t>
            </w:r>
            <w:r>
              <w:rPr>
                <w:rFonts w:ascii="Calibri" w:hAnsi="Calibri"/>
                <w:color w:val="333333"/>
                <w:sz w:val="16"/>
              </w:rPr>
            </w:r>
          </w:p>
        </w:tc>
        <w:tc>
          <w:tcPr>
            <w:tcW w:type="dxa" w:w="1247"/>
            <w:shd w:val="clear" w:color="auto" w:fill="F2F4F7"/>
            <w:vAlign w:val="top"/>
          </w:tcPr>
          <w:p>
            <w:r>
              <w:rPr>
                <w:rFonts w:ascii="Calibri" w:hAnsi="Calibri"/>
                <w:color w:val="333333"/>
                <w:sz w:val="16"/>
              </w:rPr>
              <w:t>Industry / CCUS</w:t>
            </w:r>
          </w:p>
        </w:tc>
        <w:tc>
          <w:tcPr>
            <w:tcW w:type="dxa" w:w="2551"/>
            <w:shd w:val="clear" w:color="auto" w:fill="F2F4F7"/>
            <w:vAlign w:val="top"/>
          </w:tcPr>
          <w:p>
            <w:r>
              <w:rPr>
                <w:rFonts w:ascii="Calibri" w:hAnsi="Calibri"/>
                <w:color w:val="333333"/>
                <w:sz w:val="16"/>
              </w:rPr>
              <w:t>First CCUS-linked MDB platform in the region; cement-sector decarbonization establishes bankability template.</w:t>
            </w:r>
          </w:p>
        </w:tc>
      </w:tr>
      <w:tr>
        <w:tc>
          <w:tcPr>
            <w:tcW w:type="dxa" w:w="2154"/>
            <w:shd w:val="clear" w:color="auto" w:fill="FFFFFF"/>
            <w:vAlign w:val="top"/>
          </w:tcPr>
          <w:p>
            <w:r>
              <w:rPr>
                <w:rFonts w:ascii="Calibri" w:hAnsi="Calibri"/>
                <w:color w:val="333333"/>
                <w:sz w:val="16"/>
              </w:rPr>
              <w:t>AIIB Tajikistan Infrastructure Pipeline MOU</w:t>
            </w:r>
          </w:p>
        </w:tc>
        <w:tc>
          <w:tcPr>
            <w:tcW w:type="dxa" w:w="1587"/>
            <w:shd w:val="clear" w:color="auto" w:fill="FFFFFF"/>
            <w:vAlign w:val="top"/>
          </w:tcPr>
          <w:p>
            <w:r>
              <w:rPr>
                <w:rFonts w:ascii="Calibri" w:hAnsi="Calibri"/>
                <w:color w:val="333333"/>
                <w:sz w:val="16"/>
              </w:rPr>
            </w:r>
            <w:r>
              <w:rPr>
                <w:rFonts w:ascii="Calibri" w:hAnsi="Calibri"/>
                <w:b/>
                <w:color w:val="333333"/>
                <w:sz w:val="16"/>
              </w:rPr>
              <w:t>AIIB</w:t>
            </w:r>
            <w:r>
              <w:rPr>
                <w:rFonts w:ascii="Calibri" w:hAnsi="Calibri"/>
                <w:color w:val="333333"/>
                <w:sz w:val="16"/>
              </w:rPr>
            </w:r>
          </w:p>
        </w:tc>
        <w:tc>
          <w:tcPr>
            <w:tcW w:type="dxa" w:w="1417"/>
            <w:shd w:val="clear" w:color="auto" w:fill="FFFFFF"/>
            <w:vAlign w:val="top"/>
          </w:tcPr>
          <w:p>
            <w:r>
              <w:rPr>
                <w:rFonts w:ascii="Calibri" w:hAnsi="Calibri"/>
                <w:color w:val="333333"/>
                <w:sz w:val="16"/>
              </w:rPr>
            </w:r>
            <w:r>
              <w:rPr>
                <w:rFonts w:ascii="Calibri" w:hAnsi="Calibri"/>
                <w:b/>
                <w:color w:val="333333"/>
                <w:sz w:val="16"/>
              </w:rPr>
              <w:t>~USD 800M</w:t>
            </w:r>
            <w:r>
              <w:rPr>
                <w:rFonts w:ascii="Calibri" w:hAnsi="Calibri"/>
                <w:color w:val="333333"/>
                <w:sz w:val="16"/>
              </w:rPr>
            </w:r>
          </w:p>
        </w:tc>
        <w:tc>
          <w:tcPr>
            <w:tcW w:type="dxa" w:w="1020"/>
            <w:shd w:val="clear" w:color="auto" w:fill="FFFFFF"/>
            <w:vAlign w:val="top"/>
          </w:tcPr>
          <w:p>
            <w:r>
              <w:rPr>
                <w:rFonts w:ascii="Calibri" w:hAnsi="Calibri"/>
                <w:color w:val="333333"/>
                <w:sz w:val="16"/>
              </w:rPr>
            </w:r>
            <w:r>
              <w:rPr>
                <w:rFonts w:ascii="Calibri" w:hAnsi="Calibri"/>
                <w:b/>
                <w:color w:val="333333"/>
                <w:sz w:val="16"/>
              </w:rPr>
              <w:t>Tajikistan</w:t>
            </w:r>
            <w:r>
              <w:rPr>
                <w:rFonts w:ascii="Calibri" w:hAnsi="Calibri"/>
                <w:color w:val="333333"/>
                <w:sz w:val="16"/>
              </w:rPr>
            </w:r>
          </w:p>
        </w:tc>
        <w:tc>
          <w:tcPr>
            <w:tcW w:type="dxa" w:w="1247"/>
            <w:shd w:val="clear" w:color="auto" w:fill="FFFFFF"/>
            <w:vAlign w:val="top"/>
          </w:tcPr>
          <w:p>
            <w:r>
              <w:rPr>
                <w:rFonts w:ascii="Calibri" w:hAnsi="Calibri"/>
                <w:color w:val="333333"/>
                <w:sz w:val="16"/>
              </w:rPr>
              <w:t>Multi-sector</w:t>
            </w:r>
          </w:p>
        </w:tc>
        <w:tc>
          <w:tcPr>
            <w:tcW w:type="dxa" w:w="2551"/>
            <w:shd w:val="clear" w:color="auto" w:fill="FFFFFF"/>
            <w:vAlign w:val="top"/>
          </w:tcPr>
          <w:p>
            <w:r>
              <w:rPr>
                <w:rFonts w:ascii="Calibri" w:hAnsi="Calibri"/>
                <w:color w:val="333333"/>
                <w:sz w:val="16"/>
              </w:rPr>
              <w:t>Largest single institutional commitment to Tajikistan; pipeline underpopulated — first-mover private co-investment window.</w:t>
            </w:r>
          </w:p>
        </w:tc>
      </w:tr>
      <w:tr>
        <w:tc>
          <w:tcPr>
            <w:tcW w:type="dxa" w:w="2154"/>
            <w:shd w:val="clear" w:color="auto" w:fill="F2F4F7"/>
            <w:vAlign w:val="top"/>
          </w:tcPr>
          <w:p>
            <w:r>
              <w:rPr>
                <w:rFonts w:ascii="Calibri" w:hAnsi="Calibri"/>
                <w:color w:val="333333"/>
                <w:sz w:val="16"/>
              </w:rPr>
              <w:t>World Bank Green &amp; Future Cities</w:t>
            </w:r>
          </w:p>
        </w:tc>
        <w:tc>
          <w:tcPr>
            <w:tcW w:type="dxa" w:w="1587"/>
            <w:shd w:val="clear" w:color="auto" w:fill="F2F4F7"/>
            <w:vAlign w:val="top"/>
          </w:tcPr>
          <w:p>
            <w:r>
              <w:rPr>
                <w:rFonts w:ascii="Calibri" w:hAnsi="Calibri"/>
                <w:color w:val="333333"/>
                <w:sz w:val="16"/>
              </w:rPr>
            </w:r>
            <w:r>
              <w:rPr>
                <w:rFonts w:ascii="Calibri" w:hAnsi="Calibri"/>
                <w:b/>
                <w:color w:val="333333"/>
                <w:sz w:val="16"/>
              </w:rPr>
              <w:t>World Bank (IBRD)</w:t>
            </w:r>
            <w:r>
              <w:rPr>
                <w:rFonts w:ascii="Calibri" w:hAnsi="Calibri"/>
                <w:color w:val="333333"/>
                <w:sz w:val="16"/>
              </w:rPr>
            </w:r>
          </w:p>
        </w:tc>
        <w:tc>
          <w:tcPr>
            <w:tcW w:type="dxa" w:w="1417"/>
            <w:shd w:val="clear" w:color="auto" w:fill="F2F4F7"/>
            <w:vAlign w:val="top"/>
          </w:tcPr>
          <w:p>
            <w:r>
              <w:rPr>
                <w:rFonts w:ascii="Calibri" w:hAnsi="Calibri"/>
                <w:color w:val="333333"/>
                <w:sz w:val="16"/>
              </w:rPr>
            </w:r>
            <w:r>
              <w:rPr>
                <w:rFonts w:ascii="Calibri" w:hAnsi="Calibri"/>
                <w:b/>
                <w:color w:val="333333"/>
                <w:sz w:val="16"/>
              </w:rPr>
              <w:t>EUR 191.5M</w:t>
            </w:r>
            <w:r>
              <w:rPr>
                <w:rFonts w:ascii="Calibri" w:hAnsi="Calibri"/>
                <w:color w:val="333333"/>
                <w:sz w:val="16"/>
              </w:rPr>
            </w:r>
          </w:p>
        </w:tc>
        <w:tc>
          <w:tcPr>
            <w:tcW w:type="dxa" w:w="1020"/>
            <w:shd w:val="clear" w:color="auto" w:fill="F2F4F7"/>
            <w:vAlign w:val="top"/>
          </w:tcPr>
          <w:p>
            <w:r>
              <w:rPr>
                <w:rFonts w:ascii="Calibri" w:hAnsi="Calibri"/>
                <w:color w:val="333333"/>
                <w:sz w:val="16"/>
              </w:rPr>
            </w:r>
            <w:r>
              <w:rPr>
                <w:rFonts w:ascii="Calibri" w:hAnsi="Calibri"/>
                <w:b/>
                <w:color w:val="333333"/>
                <w:sz w:val="16"/>
              </w:rPr>
              <w:t>Türkiye</w:t>
            </w:r>
            <w:r>
              <w:rPr>
                <w:rFonts w:ascii="Calibri" w:hAnsi="Calibri"/>
                <w:color w:val="333333"/>
                <w:sz w:val="16"/>
              </w:rPr>
            </w:r>
          </w:p>
        </w:tc>
        <w:tc>
          <w:tcPr>
            <w:tcW w:type="dxa" w:w="1247"/>
            <w:shd w:val="clear" w:color="auto" w:fill="F2F4F7"/>
            <w:vAlign w:val="top"/>
          </w:tcPr>
          <w:p>
            <w:r>
              <w:rPr>
                <w:rFonts w:ascii="Calibri" w:hAnsi="Calibri"/>
                <w:color w:val="333333"/>
                <w:sz w:val="16"/>
              </w:rPr>
              <w:t>Urban transit / water</w:t>
            </w:r>
          </w:p>
        </w:tc>
        <w:tc>
          <w:tcPr>
            <w:tcW w:type="dxa" w:w="2551"/>
            <w:shd w:val="clear" w:color="auto" w:fill="F2F4F7"/>
            <w:vAlign w:val="top"/>
          </w:tcPr>
          <w:p>
            <w:r>
              <w:rPr>
                <w:rFonts w:ascii="Calibri" w:hAnsi="Calibri"/>
                <w:color w:val="333333"/>
                <w:sz w:val="16"/>
              </w:rPr>
              <w:t>Antalya + Konya tramlines + low-emission buses; NDC alignment archetype replicable across 12+ Turkish municipalities.</w:t>
            </w:r>
          </w:p>
        </w:tc>
      </w:tr>
      <w:tr>
        <w:tc>
          <w:tcPr>
            <w:tcW w:type="dxa" w:w="2154"/>
            <w:shd w:val="clear" w:color="auto" w:fill="FFFFFF"/>
            <w:vAlign w:val="top"/>
          </w:tcPr>
          <w:p>
            <w:r>
              <w:rPr>
                <w:rFonts w:ascii="Calibri" w:hAnsi="Calibri"/>
                <w:color w:val="333333"/>
                <w:sz w:val="16"/>
              </w:rPr>
              <w:t>IsDB Azerbaijan Karabakh Irrigation</w:t>
            </w:r>
          </w:p>
        </w:tc>
        <w:tc>
          <w:tcPr>
            <w:tcW w:type="dxa" w:w="1587"/>
            <w:shd w:val="clear" w:color="auto" w:fill="FFFFFF"/>
            <w:vAlign w:val="top"/>
          </w:tcPr>
          <w:p>
            <w:r>
              <w:rPr>
                <w:rFonts w:ascii="Calibri" w:hAnsi="Calibri"/>
                <w:color w:val="333333"/>
                <w:sz w:val="16"/>
              </w:rPr>
            </w:r>
            <w:r>
              <w:rPr>
                <w:rFonts w:ascii="Calibri" w:hAnsi="Calibri"/>
                <w:b/>
                <w:color w:val="333333"/>
                <w:sz w:val="16"/>
              </w:rPr>
              <w:t>IsDB</w:t>
            </w:r>
            <w:r>
              <w:rPr>
                <w:rFonts w:ascii="Calibri" w:hAnsi="Calibri"/>
                <w:color w:val="333333"/>
                <w:sz w:val="16"/>
              </w:rPr>
            </w:r>
          </w:p>
        </w:tc>
        <w:tc>
          <w:tcPr>
            <w:tcW w:type="dxa" w:w="1417"/>
            <w:shd w:val="clear" w:color="auto" w:fill="FFFFFF"/>
            <w:vAlign w:val="top"/>
          </w:tcPr>
          <w:p>
            <w:r>
              <w:rPr>
                <w:rFonts w:ascii="Calibri" w:hAnsi="Calibri"/>
                <w:color w:val="333333"/>
                <w:sz w:val="16"/>
              </w:rPr>
            </w:r>
            <w:r>
              <w:rPr>
                <w:rFonts w:ascii="Calibri" w:hAnsi="Calibri"/>
                <w:b/>
                <w:color w:val="333333"/>
                <w:sz w:val="16"/>
              </w:rPr>
              <w:t>USD 436.67M</w:t>
            </w:r>
            <w:r>
              <w:rPr>
                <w:rFonts w:ascii="Calibri" w:hAnsi="Calibri"/>
                <w:color w:val="333333"/>
                <w:sz w:val="16"/>
              </w:rPr>
            </w:r>
          </w:p>
        </w:tc>
        <w:tc>
          <w:tcPr>
            <w:tcW w:type="dxa" w:w="1020"/>
            <w:shd w:val="clear" w:color="auto" w:fill="FFFFFF"/>
            <w:vAlign w:val="top"/>
          </w:tcPr>
          <w:p>
            <w:r>
              <w:rPr>
                <w:rFonts w:ascii="Calibri" w:hAnsi="Calibri"/>
                <w:color w:val="333333"/>
                <w:sz w:val="16"/>
              </w:rPr>
            </w:r>
            <w:r>
              <w:rPr>
                <w:rFonts w:ascii="Calibri" w:hAnsi="Calibri"/>
                <w:b/>
                <w:color w:val="333333"/>
                <w:sz w:val="16"/>
              </w:rPr>
              <w:t>Azerbaijan</w:t>
            </w:r>
            <w:r>
              <w:rPr>
                <w:rFonts w:ascii="Calibri" w:hAnsi="Calibri"/>
                <w:color w:val="333333"/>
                <w:sz w:val="16"/>
              </w:rPr>
            </w:r>
          </w:p>
        </w:tc>
        <w:tc>
          <w:tcPr>
            <w:tcW w:type="dxa" w:w="1247"/>
            <w:shd w:val="clear" w:color="auto" w:fill="FFFFFF"/>
            <w:vAlign w:val="top"/>
          </w:tcPr>
          <w:p>
            <w:r>
              <w:rPr>
                <w:rFonts w:ascii="Calibri" w:hAnsi="Calibri"/>
                <w:color w:val="333333"/>
                <w:sz w:val="16"/>
              </w:rPr>
              <w:t>Agriculture / reconstruction</w:t>
            </w:r>
          </w:p>
        </w:tc>
        <w:tc>
          <w:tcPr>
            <w:tcW w:type="dxa" w:w="2551"/>
            <w:shd w:val="clear" w:color="auto" w:fill="FFFFFF"/>
            <w:vAlign w:val="top"/>
          </w:tcPr>
          <w:p>
            <w:r>
              <w:rPr>
                <w:rFonts w:ascii="Calibri" w:hAnsi="Calibri"/>
                <w:color w:val="333333"/>
                <w:sz w:val="16"/>
              </w:rPr>
              <w:t>Signing expected June 16–19 Baku; post-conflict reconstruction signal to GCC co-investors.</w:t>
            </w:r>
          </w:p>
        </w:tc>
      </w:tr>
      <w:tr>
        <w:tc>
          <w:tcPr>
            <w:tcW w:type="dxa" w:w="2154"/>
            <w:shd w:val="clear" w:color="auto" w:fill="F2F4F7"/>
            <w:vAlign w:val="top"/>
          </w:tcPr>
          <w:p>
            <w:r>
              <w:rPr>
                <w:rFonts w:ascii="Calibri" w:hAnsi="Calibri"/>
                <w:color w:val="333333"/>
                <w:sz w:val="16"/>
              </w:rPr>
              <w:t>EBRD Mirny Wind Farm + BESS (1 GW + 300 MW/600 MWh)</w:t>
            </w:r>
          </w:p>
        </w:tc>
        <w:tc>
          <w:tcPr>
            <w:tcW w:type="dxa" w:w="1587"/>
            <w:shd w:val="clear" w:color="auto" w:fill="F2F4F7"/>
            <w:vAlign w:val="top"/>
          </w:tcPr>
          <w:p>
            <w:r>
              <w:rPr>
                <w:rFonts w:ascii="Calibri" w:hAnsi="Calibri"/>
                <w:color w:val="333333"/>
                <w:sz w:val="16"/>
              </w:rPr>
            </w:r>
            <w:r>
              <w:rPr>
                <w:rFonts w:ascii="Calibri" w:hAnsi="Calibri"/>
                <w:b/>
                <w:color w:val="333333"/>
                <w:sz w:val="16"/>
              </w:rPr>
              <w:t>EBRD</w:t>
            </w:r>
            <w:r>
              <w:rPr>
                <w:rFonts w:ascii="Calibri" w:hAnsi="Calibri"/>
                <w:color w:val="333333"/>
                <w:sz w:val="16"/>
              </w:rPr>
            </w:r>
          </w:p>
        </w:tc>
        <w:tc>
          <w:tcPr>
            <w:tcW w:type="dxa" w:w="1417"/>
            <w:shd w:val="clear" w:color="auto" w:fill="F2F4F7"/>
            <w:vAlign w:val="top"/>
          </w:tcPr>
          <w:p>
            <w:r>
              <w:rPr>
                <w:rFonts w:ascii="Calibri" w:hAnsi="Calibri"/>
                <w:color w:val="333333"/>
                <w:sz w:val="16"/>
              </w:rPr>
            </w:r>
            <w:r>
              <w:rPr>
                <w:rFonts w:ascii="Calibri" w:hAnsi="Calibri"/>
                <w:b/>
                <w:color w:val="333333"/>
                <w:sz w:val="16"/>
              </w:rPr>
              <w:t>USD 548M</w:t>
            </w:r>
            <w:r>
              <w:rPr>
                <w:rFonts w:ascii="Calibri" w:hAnsi="Calibri"/>
                <w:color w:val="333333"/>
                <w:sz w:val="16"/>
              </w:rPr>
            </w:r>
          </w:p>
        </w:tc>
        <w:tc>
          <w:tcPr>
            <w:tcW w:type="dxa" w:w="1020"/>
            <w:shd w:val="clear" w:color="auto" w:fill="F2F4F7"/>
            <w:vAlign w:val="top"/>
          </w:tcPr>
          <w:p>
            <w:r>
              <w:rPr>
                <w:rFonts w:ascii="Calibri" w:hAnsi="Calibri"/>
                <w:color w:val="333333"/>
                <w:sz w:val="16"/>
              </w:rPr>
            </w:r>
            <w:r>
              <w:rPr>
                <w:rFonts w:ascii="Calibri" w:hAnsi="Calibri"/>
                <w:b/>
                <w:color w:val="333333"/>
                <w:sz w:val="16"/>
              </w:rPr>
              <w:t>Kazakhstan</w:t>
            </w:r>
            <w:r>
              <w:rPr>
                <w:rFonts w:ascii="Calibri" w:hAnsi="Calibri"/>
                <w:color w:val="333333"/>
                <w:sz w:val="16"/>
              </w:rPr>
            </w:r>
          </w:p>
        </w:tc>
        <w:tc>
          <w:tcPr>
            <w:tcW w:type="dxa" w:w="1247"/>
            <w:shd w:val="clear" w:color="auto" w:fill="F2F4F7"/>
            <w:vAlign w:val="top"/>
          </w:tcPr>
          <w:p>
            <w:r>
              <w:rPr>
                <w:rFonts w:ascii="Calibri" w:hAnsi="Calibri"/>
                <w:color w:val="333333"/>
                <w:sz w:val="16"/>
              </w:rPr>
              <w:t>Renewable energy</w:t>
            </w:r>
          </w:p>
        </w:tc>
        <w:tc>
          <w:tcPr>
            <w:tcW w:type="dxa" w:w="2551"/>
            <w:shd w:val="clear" w:color="auto" w:fill="F2F4F7"/>
            <w:vAlign w:val="top"/>
          </w:tcPr>
          <w:p>
            <w:r>
              <w:rPr>
                <w:rFonts w:ascii="Calibri" w:hAnsi="Calibri"/>
                <w:color w:val="333333"/>
                <w:sz w:val="16"/>
              </w:rPr>
              <w:t>Largest wind-plus-storage transaction in CIS; establishes bankable BESS project template for the region.</w:t>
            </w:r>
          </w:p>
        </w:tc>
      </w:tr>
      <w:tr>
        <w:tc>
          <w:tcPr>
            <w:tcW w:type="dxa" w:w="2154"/>
            <w:shd w:val="clear" w:color="auto" w:fill="FFFFFF"/>
            <w:vAlign w:val="top"/>
          </w:tcPr>
          <w:p>
            <w:r>
              <w:rPr>
                <w:rFonts w:ascii="Calibri" w:hAnsi="Calibri"/>
                <w:color w:val="333333"/>
                <w:sz w:val="16"/>
              </w:rPr>
              <w:t>AIIB Baku Metro Expansion Phase I (Green Line, 10 stations)</w:t>
            </w:r>
          </w:p>
        </w:tc>
        <w:tc>
          <w:tcPr>
            <w:tcW w:type="dxa" w:w="1587"/>
            <w:shd w:val="clear" w:color="auto" w:fill="FFFFFF"/>
            <w:vAlign w:val="top"/>
          </w:tcPr>
          <w:p>
            <w:r>
              <w:rPr>
                <w:rFonts w:ascii="Calibri" w:hAnsi="Calibri"/>
                <w:color w:val="333333"/>
                <w:sz w:val="16"/>
              </w:rPr>
            </w:r>
            <w:r>
              <w:rPr>
                <w:rFonts w:ascii="Calibri" w:hAnsi="Calibri"/>
                <w:b/>
                <w:color w:val="333333"/>
                <w:sz w:val="16"/>
              </w:rPr>
              <w:t>AIIB</w:t>
            </w:r>
            <w:r>
              <w:rPr>
                <w:rFonts w:ascii="Calibri" w:hAnsi="Calibri"/>
                <w:color w:val="333333"/>
                <w:sz w:val="16"/>
              </w:rPr>
            </w:r>
          </w:p>
        </w:tc>
        <w:tc>
          <w:tcPr>
            <w:tcW w:type="dxa" w:w="1417"/>
            <w:shd w:val="clear" w:color="auto" w:fill="FFFFFF"/>
            <w:vAlign w:val="top"/>
          </w:tcPr>
          <w:p>
            <w:r>
              <w:rPr>
                <w:rFonts w:ascii="Calibri" w:hAnsi="Calibri"/>
                <w:color w:val="333333"/>
                <w:sz w:val="16"/>
              </w:rPr>
            </w:r>
            <w:r>
              <w:rPr>
                <w:rFonts w:ascii="Calibri" w:hAnsi="Calibri"/>
                <w:b/>
                <w:color w:val="333333"/>
                <w:sz w:val="16"/>
              </w:rPr>
              <w:t>USD 180M</w:t>
            </w:r>
            <w:r>
              <w:rPr>
                <w:rFonts w:ascii="Calibri" w:hAnsi="Calibri"/>
                <w:color w:val="333333"/>
                <w:sz w:val="16"/>
              </w:rPr>
            </w:r>
          </w:p>
        </w:tc>
        <w:tc>
          <w:tcPr>
            <w:tcW w:type="dxa" w:w="1020"/>
            <w:shd w:val="clear" w:color="auto" w:fill="FFFFFF"/>
            <w:vAlign w:val="top"/>
          </w:tcPr>
          <w:p>
            <w:r>
              <w:rPr>
                <w:rFonts w:ascii="Calibri" w:hAnsi="Calibri"/>
                <w:color w:val="333333"/>
                <w:sz w:val="16"/>
              </w:rPr>
            </w:r>
            <w:r>
              <w:rPr>
                <w:rFonts w:ascii="Calibri" w:hAnsi="Calibri"/>
                <w:b/>
                <w:color w:val="333333"/>
                <w:sz w:val="16"/>
              </w:rPr>
              <w:t>Azerbaijan</w:t>
            </w:r>
            <w:r>
              <w:rPr>
                <w:rFonts w:ascii="Calibri" w:hAnsi="Calibri"/>
                <w:color w:val="333333"/>
                <w:sz w:val="16"/>
              </w:rPr>
            </w:r>
          </w:p>
        </w:tc>
        <w:tc>
          <w:tcPr>
            <w:tcW w:type="dxa" w:w="1247"/>
            <w:shd w:val="clear" w:color="auto" w:fill="FFFFFF"/>
            <w:vAlign w:val="top"/>
          </w:tcPr>
          <w:p>
            <w:r>
              <w:rPr>
                <w:rFonts w:ascii="Calibri" w:hAnsi="Calibri"/>
                <w:color w:val="333333"/>
                <w:sz w:val="16"/>
              </w:rPr>
              <w:t>Urban rail</w:t>
            </w:r>
          </w:p>
        </w:tc>
        <w:tc>
          <w:tcPr>
            <w:tcW w:type="dxa" w:w="2551"/>
            <w:shd w:val="clear" w:color="auto" w:fill="FFFFFF"/>
            <w:vAlign w:val="top"/>
          </w:tcPr>
          <w:p>
            <w:r>
              <w:rPr>
                <w:rFonts w:ascii="Calibri" w:hAnsi="Calibri"/>
                <w:color w:val="333333"/>
                <w:sz w:val="16"/>
              </w:rPr>
              <w:t>Complements EBRD EUR 5B envelope; Azerbaijan consolidating as the most MDB-active South Caucasus sovereign.</w:t>
            </w:r>
          </w:p>
        </w:tc>
      </w:tr>
    </w:tbl>
    <w:p>
      <w:pPr>
        <w:spacing w:after="120"/>
      </w:pPr>
    </w:p>
    <w:p>
      <w:pPr>
        <w:pBdr>
          <w:bottom w:val="single" w:sz="12" w:space="1" w:color="C89620"/>
        </w:pBdr>
        <w:spacing w:before="40" w:after="120"/>
      </w:pPr>
    </w:p>
    <w:p>
      <w:pPr>
        <w:spacing w:before="200" w:after="80"/>
        <w:jc w:val="left"/>
      </w:pPr>
      <w:r>
        <w:rPr>
          <w:rFonts w:ascii="Calibri" w:hAnsi="Calibri"/>
          <w:b/>
          <w:color w:val="0A1F44"/>
          <w:sz w:val="24"/>
        </w:rPr>
        <w:t>MACRO CONTEXT &amp; INFRASTRUCTURE IMPACT</w:t>
      </w:r>
    </w:p>
    <w:p>
      <w:pPr>
        <w:pStyle w:val="ListBullet"/>
        <w:spacing w:after="60" w:before="20"/>
        <w:ind w:left="360"/>
      </w:pPr>
      <w:r>
        <w:rPr>
          <w:rFonts w:ascii="Calibri" w:hAnsi="Calibri"/>
          <w:color w:val="333333"/>
          <w:sz w:val="19"/>
        </w:rPr>
      </w:r>
      <w:r>
        <w:rPr>
          <w:rFonts w:ascii="Calibri" w:hAnsi="Calibri"/>
          <w:b/>
          <w:color w:val="333333"/>
          <w:sz w:val="19"/>
        </w:rPr>
        <w:t>MIDDLE CORRIDOR STRUCTURAL LOCK-IN:</w:t>
      </w:r>
      <w:r>
        <w:rPr>
          <w:rFonts w:ascii="Calibri" w:hAnsi="Calibri"/>
          <w:color w:val="333333"/>
          <w:sz w:val="19"/>
        </w:rPr>
        <w:t xml:space="preserve"> Post-Russia freight rerouting is permanent, not cyclical. Over </w:t>
      </w:r>
      <w:r>
        <w:rPr>
          <w:rFonts w:ascii="Calibri" w:hAnsi="Calibri"/>
          <w:b/>
          <w:color w:val="333333"/>
          <w:sz w:val="19"/>
        </w:rPr>
        <w:t>USD 12B</w:t>
      </w:r>
      <w:r>
        <w:rPr>
          <w:rFonts w:ascii="Calibri" w:hAnsi="Calibri"/>
          <w:color w:val="333333"/>
          <w:sz w:val="19"/>
        </w:rPr>
        <w:t xml:space="preserve"> committed on the TITR spine in 2025–2026 across rail, road, port, and border infrastructure — creating compounding throughput interdependencies that make individual project returns contingent on corridor-wide completion.</w:t>
      </w:r>
    </w:p>
    <w:p>
      <w:pPr>
        <w:pStyle w:val="ListBullet"/>
        <w:spacing w:after="60" w:before="20"/>
        <w:ind w:left="360"/>
      </w:pPr>
      <w:r>
        <w:rPr>
          <w:rFonts w:ascii="Calibri" w:hAnsi="Calibri"/>
          <w:color w:val="333333"/>
          <w:sz w:val="19"/>
        </w:rPr>
      </w:r>
      <w:r>
        <w:rPr>
          <w:rFonts w:ascii="Calibri" w:hAnsi="Calibri"/>
          <w:b/>
          <w:color w:val="333333"/>
          <w:sz w:val="19"/>
        </w:rPr>
        <w:t>GREEN TRANSITION AS PRIMARY MDB GATEWAY:</w:t>
      </w:r>
      <w:r>
        <w:rPr>
          <w:rFonts w:ascii="Calibri" w:hAnsi="Calibri"/>
          <w:color w:val="333333"/>
          <w:sz w:val="19"/>
        </w:rPr>
        <w:t xml:space="preserve"> </w:t>
      </w:r>
      <w:r>
        <w:rPr>
          <w:rFonts w:ascii="Calibri" w:hAnsi="Calibri"/>
          <w:b/>
          <w:color w:val="333333"/>
          <w:sz w:val="19"/>
        </w:rPr>
        <w:t>EBRD</w:t>
      </w:r>
      <w:r>
        <w:rPr>
          <w:rFonts w:ascii="Calibri" w:hAnsi="Calibri"/>
          <w:color w:val="333333"/>
          <w:sz w:val="19"/>
        </w:rPr>
        <w:t xml:space="preserve"> targets 50%+ green financing share; </w:t>
      </w:r>
      <w:r>
        <w:rPr>
          <w:rFonts w:ascii="Calibri" w:hAnsi="Calibri"/>
          <w:b/>
          <w:color w:val="333333"/>
          <w:sz w:val="19"/>
        </w:rPr>
        <w:t>World Bank</w:t>
      </w:r>
      <w:r>
        <w:rPr>
          <w:rFonts w:ascii="Calibri" w:hAnsi="Calibri"/>
          <w:color w:val="333333"/>
          <w:sz w:val="19"/>
        </w:rPr>
        <w:t xml:space="preserve"> Evolution Roadmap mandates climate integration; </w:t>
      </w:r>
      <w:r>
        <w:rPr>
          <w:rFonts w:ascii="Calibri" w:hAnsi="Calibri"/>
          <w:b/>
          <w:color w:val="333333"/>
          <w:sz w:val="19"/>
        </w:rPr>
        <w:t>ADB</w:t>
      </w:r>
      <w:r>
        <w:rPr>
          <w:rFonts w:ascii="Calibri" w:hAnsi="Calibri"/>
          <w:color w:val="333333"/>
          <w:sz w:val="19"/>
        </w:rPr>
        <w:t xml:space="preserve"> holds a </w:t>
      </w:r>
      <w:r>
        <w:rPr>
          <w:rFonts w:ascii="Calibri" w:hAnsi="Calibri"/>
          <w:b/>
          <w:color w:val="333333"/>
          <w:sz w:val="19"/>
        </w:rPr>
        <w:t>USD 100B</w:t>
      </w:r>
      <w:r>
        <w:rPr>
          <w:rFonts w:ascii="Calibri" w:hAnsi="Calibri"/>
          <w:color w:val="333333"/>
          <w:sz w:val="19"/>
        </w:rPr>
        <w:t xml:space="preserve"> climate target through 2030. Green labeling is now baseline eligibility, not a differentiator — sovereigns without NDC-aligned pipelines face growing access constraints.</w:t>
      </w:r>
    </w:p>
    <w:p>
      <w:pPr>
        <w:pStyle w:val="ListBullet"/>
        <w:spacing w:after="60" w:before="20"/>
        <w:ind w:left="360"/>
      </w:pPr>
      <w:r>
        <w:rPr>
          <w:rFonts w:ascii="Calibri" w:hAnsi="Calibri"/>
          <w:color w:val="333333"/>
          <w:sz w:val="19"/>
        </w:rPr>
      </w:r>
      <w:r>
        <w:rPr>
          <w:rFonts w:ascii="Calibri" w:hAnsi="Calibri"/>
          <w:b/>
          <w:color w:val="333333"/>
          <w:sz w:val="19"/>
        </w:rPr>
        <w:t>PRIVATE CAPITAL MOBILIZATION AS INSTITUTIONAL KPI:</w:t>
      </w:r>
      <w:r>
        <w:rPr>
          <w:rFonts w:ascii="Calibri" w:hAnsi="Calibri"/>
          <w:color w:val="333333"/>
          <w:sz w:val="19"/>
        </w:rPr>
        <w:t xml:space="preserve"> G20 MDB Capital Adequacy Review demands </w:t>
      </w:r>
      <w:r>
        <w:rPr>
          <w:rFonts w:ascii="Calibri" w:hAnsi="Calibri"/>
          <w:b/>
          <w:color w:val="333333"/>
          <w:sz w:val="19"/>
        </w:rPr>
        <w:t>4:1–7:1 private leverage ratios</w:t>
      </w:r>
      <w:r>
        <w:rPr>
          <w:rFonts w:ascii="Calibri" w:hAnsi="Calibri"/>
          <w:color w:val="333333"/>
          <w:sz w:val="19"/>
        </w:rPr>
        <w:t xml:space="preserve">. Every major platform vehicle this week — </w:t>
      </w:r>
      <w:r>
        <w:rPr>
          <w:rFonts w:ascii="Calibri" w:hAnsi="Calibri"/>
          <w:b/>
          <w:color w:val="333333"/>
          <w:sz w:val="19"/>
        </w:rPr>
        <w:t>TIDIP (EUR 5B), EBRD+EU Digital Package (EUR 100M), IFC Highland Fund II (USD 75M target)</w:t>
      </w:r>
      <w:r>
        <w:rPr>
          <w:rFonts w:ascii="Calibri" w:hAnsi="Calibri"/>
          <w:color w:val="333333"/>
          <w:sz w:val="19"/>
        </w:rPr>
        <w:t xml:space="preserve"> — is structured to crowd in commercial capital. Blended finance is the MDB business model, not an option.</w:t>
      </w:r>
    </w:p>
    <w:p>
      <w:pPr>
        <w:pStyle w:val="ListBullet"/>
        <w:spacing w:after="60" w:before="20"/>
        <w:ind w:left="360"/>
      </w:pPr>
      <w:r>
        <w:rPr>
          <w:rFonts w:ascii="Calibri" w:hAnsi="Calibri"/>
          <w:color w:val="333333"/>
          <w:sz w:val="19"/>
        </w:rPr>
      </w:r>
      <w:r>
        <w:rPr>
          <w:rFonts w:ascii="Calibri" w:hAnsi="Calibri"/>
          <w:b/>
          <w:color w:val="333333"/>
          <w:sz w:val="19"/>
        </w:rPr>
        <w:t>URBAN INFRASTRUCTURE AS NDC ALIGNMENT VEHICLE:</w:t>
      </w:r>
      <w:r>
        <w:rPr>
          <w:rFonts w:ascii="Calibri" w:hAnsi="Calibri"/>
          <w:color w:val="333333"/>
          <w:sz w:val="19"/>
        </w:rPr>
        <w:t xml:space="preserve"> Tramlines, metro expansions, and water/wastewater systems are simultaneously domestically popular, Paris Agreement-eligible, and MDB-bankable. </w:t>
      </w:r>
      <w:r>
        <w:rPr>
          <w:rFonts w:ascii="Calibri" w:hAnsi="Calibri"/>
          <w:b/>
          <w:color w:val="333333"/>
          <w:sz w:val="19"/>
        </w:rPr>
        <w:t>Türkiye (EUR 191.5M), Azerbaijan (USD 180M metro + EUR 410M water programme), Kazakhstan</w:t>
      </w:r>
      <w:r>
        <w:rPr>
          <w:rFonts w:ascii="Calibri" w:hAnsi="Calibri"/>
          <w:color w:val="333333"/>
          <w:sz w:val="19"/>
        </w:rPr>
        <w:t xml:space="preserve"> are executing this archetype at scale.</w:t>
      </w:r>
    </w:p>
    <w:p>
      <w:pPr>
        <w:pStyle w:val="ListBullet"/>
        <w:spacing w:after="60" w:before="20"/>
        <w:ind w:left="360"/>
      </w:pPr>
      <w:r>
        <w:rPr>
          <w:rFonts w:ascii="Calibri" w:hAnsi="Calibri"/>
          <w:color w:val="333333"/>
          <w:sz w:val="19"/>
        </w:rPr>
      </w:r>
      <w:r>
        <w:rPr>
          <w:rFonts w:ascii="Calibri" w:hAnsi="Calibri"/>
          <w:b/>
          <w:color w:val="333333"/>
          <w:sz w:val="19"/>
        </w:rPr>
        <w:t>CENTRAL ASIAN DIGITAL INFRASTRUCTURE MAINSTREAMED:</w:t>
      </w:r>
      <w:r>
        <w:rPr>
          <w:rFonts w:ascii="Calibri" w:hAnsi="Calibri"/>
          <w:color w:val="333333"/>
          <w:sz w:val="19"/>
        </w:rPr>
        <w:t xml:space="preserve"> </w:t>
      </w:r>
      <w:r>
        <w:rPr>
          <w:rFonts w:ascii="Calibri" w:hAnsi="Calibri"/>
          <w:b/>
          <w:color w:val="333333"/>
          <w:sz w:val="19"/>
        </w:rPr>
        <w:t>EDB's USD 70M</w:t>
      </w:r>
      <w:r>
        <w:rPr>
          <w:rFonts w:ascii="Calibri" w:hAnsi="Calibri"/>
          <w:color w:val="333333"/>
          <w:sz w:val="19"/>
        </w:rPr>
        <w:t xml:space="preserve"> Uzum fintech loan, </w:t>
      </w:r>
      <w:r>
        <w:rPr>
          <w:rFonts w:ascii="Calibri" w:hAnsi="Calibri"/>
          <w:b/>
          <w:color w:val="333333"/>
          <w:sz w:val="19"/>
        </w:rPr>
        <w:t>EBRD's ~USD 43M</w:t>
      </w:r>
      <w:r>
        <w:rPr>
          <w:rFonts w:ascii="Calibri" w:hAnsi="Calibri"/>
          <w:color w:val="333333"/>
          <w:sz w:val="19"/>
        </w:rPr>
        <w:t xml:space="preserve"> Tajikistan telecoms MOU, and the </w:t>
      </w:r>
      <w:r>
        <w:rPr>
          <w:rFonts w:ascii="Calibri" w:hAnsi="Calibri"/>
          <w:b/>
          <w:color w:val="333333"/>
          <w:sz w:val="19"/>
        </w:rPr>
        <w:t>EBRD+EU EUR 100M</w:t>
      </w:r>
      <w:r>
        <w:rPr>
          <w:rFonts w:ascii="Calibri" w:hAnsi="Calibri"/>
          <w:color w:val="333333"/>
          <w:sz w:val="19"/>
        </w:rPr>
        <w:t xml:space="preserve"> digital-green package confirm digital infrastructure has crossed from experimental to bankable asset class across the region.</w:t>
      </w:r>
    </w:p>
    <w:p>
      <w:pPr>
        <w:pStyle w:val="ListBullet"/>
        <w:spacing w:after="60" w:before="20"/>
        <w:ind w:left="360"/>
      </w:pPr>
      <w:r>
        <w:rPr>
          <w:rFonts w:ascii="Calibri" w:hAnsi="Calibri"/>
          <w:color w:val="333333"/>
          <w:sz w:val="19"/>
        </w:rPr>
      </w:r>
      <w:r>
        <w:rPr>
          <w:rFonts w:ascii="Calibri" w:hAnsi="Calibri"/>
          <w:b/>
          <w:color w:val="333333"/>
          <w:sz w:val="19"/>
        </w:rPr>
        <w:t>PARAMETRIC DISASTER RISK FINANCE SCALING:</w:t>
      </w:r>
      <w:r>
        <w:rPr>
          <w:rFonts w:ascii="Calibri" w:hAnsi="Calibri"/>
          <w:color w:val="333333"/>
          <w:sz w:val="19"/>
        </w:rPr>
        <w:t xml:space="preserve"> </w:t>
      </w:r>
      <w:r>
        <w:rPr>
          <w:rFonts w:ascii="Calibri" w:hAnsi="Calibri"/>
          <w:b/>
          <w:color w:val="333333"/>
          <w:sz w:val="19"/>
        </w:rPr>
        <w:t>ADB's USD 150M</w:t>
      </w:r>
      <w:r>
        <w:rPr>
          <w:rFonts w:ascii="Calibri" w:hAnsi="Calibri"/>
          <w:color w:val="333333"/>
          <w:sz w:val="19"/>
        </w:rPr>
        <w:t xml:space="preserve"> catastrophe bonds for </w:t>
      </w:r>
      <w:r>
        <w:rPr>
          <w:rFonts w:ascii="Calibri" w:hAnsi="Calibri"/>
          <w:b/>
          <w:color w:val="333333"/>
          <w:sz w:val="19"/>
        </w:rPr>
        <w:t>Kyrgyzstan and Tajikistan</w:t>
      </w:r>
      <w:r>
        <w:rPr>
          <w:rFonts w:ascii="Calibri" w:hAnsi="Calibri"/>
          <w:color w:val="333333"/>
          <w:sz w:val="19"/>
        </w:rPr>
        <w:t xml:space="preserve"> (earthquake + precipitation triggers) mark the first systematic shift from project-level resilience to actuarial/fiscal balance sheet management in Central Asia — a replicable sovereign instrument with significant appetite ahead.</w:t>
      </w:r>
    </w:p>
    <w:p>
      <w:pPr>
        <w:pStyle w:val="ListBullet"/>
        <w:spacing w:after="60" w:before="20"/>
        <w:ind w:left="360"/>
      </w:pPr>
      <w:r>
        <w:rPr>
          <w:rFonts w:ascii="Calibri" w:hAnsi="Calibri"/>
          <w:color w:val="333333"/>
          <w:sz w:val="19"/>
        </w:rPr>
      </w:r>
      <w:r>
        <w:rPr>
          <w:rFonts w:ascii="Calibri" w:hAnsi="Calibri"/>
          <w:b/>
          <w:color w:val="333333"/>
          <w:sz w:val="19"/>
        </w:rPr>
        <w:t>EDB AS PARALLEL FINANCING ARCHITECTURE:</w:t>
      </w:r>
      <w:r>
        <w:rPr>
          <w:rFonts w:ascii="Calibri" w:hAnsi="Calibri"/>
          <w:color w:val="333333"/>
          <w:sz w:val="19"/>
        </w:rPr>
        <w:t xml:space="preserve"> </w:t>
      </w:r>
      <w:r>
        <w:rPr>
          <w:rFonts w:ascii="Calibri" w:hAnsi="Calibri"/>
          <w:b/>
          <w:color w:val="333333"/>
          <w:sz w:val="19"/>
        </w:rPr>
        <w:t>EDB's BBB/Stable</w:t>
      </w:r>
      <w:r>
        <w:rPr>
          <w:rFonts w:ascii="Calibri" w:hAnsi="Calibri"/>
          <w:color w:val="333333"/>
          <w:sz w:val="19"/>
        </w:rPr>
        <w:t xml:space="preserve"> affirmation, Tashkent office opening, and Uzbekistan non-member lending signal deliberate construction of a Western-sanctions-independent development finance tier. Western co-investors must treat EDB-adjacent transactions as secondary sanctions exposure — a risk systematically underweighted in current deal screening.</w:t>
      </w:r>
    </w:p>
    <w:p>
      <w:pPr>
        <w:pBdr>
          <w:bottom w:val="single" w:sz="12" w:space="1" w:color="C89620"/>
        </w:pBdr>
        <w:spacing w:before="40" w:after="120"/>
      </w:pPr>
    </w:p>
    <w:p>
      <w:pPr>
        <w:spacing w:before="200" w:after="80"/>
        <w:jc w:val="left"/>
      </w:pPr>
      <w:r>
        <w:rPr>
          <w:rFonts w:ascii="Calibri" w:hAnsi="Calibri"/>
          <w:b/>
          <w:color w:val="0A1F44"/>
          <w:sz w:val="24"/>
        </w:rPr>
        <w:t>CORRIDOR INTELLIGENCE: MIDDLE CORRIDOR CAPITAL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shd w:val="clear" w:color="auto" w:fill="0A1F4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Node</w:t>
            </w:r>
          </w:p>
        </w:tc>
        <w:tc>
          <w:tcPr>
            <w:tcW w:type="dxa" w:w="2948"/>
            <w:shd w:val="clear" w:color="auto" w:fill="0A1F4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Key Projects</w:t>
            </w:r>
          </w:p>
        </w:tc>
        <w:tc>
          <w:tcPr>
            <w:tcW w:type="dxa" w:w="1984"/>
            <w:shd w:val="clear" w:color="auto" w:fill="0A1F4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MDB Capital Committed</w:t>
            </w:r>
          </w:p>
        </w:tc>
        <w:tc>
          <w:tcPr>
            <w:tcW w:type="dxa" w:w="3288"/>
            <w:shd w:val="clear" w:color="auto" w:fill="0A1F4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Strategic Function</w:t>
            </w:r>
          </w:p>
        </w:tc>
      </w:tr>
      <w:tr>
        <w:tc>
          <w:tcPr>
            <w:tcW w:type="dxa" w:w="1701"/>
            <w:shd w:val="clear" w:color="auto" w:fill="F2F4F7"/>
            <w:vAlign w:val="top"/>
          </w:tcPr>
          <w:p>
            <w:r>
              <w:rPr>
                <w:rFonts w:ascii="Calibri" w:hAnsi="Calibri"/>
                <w:color w:val="333333"/>
                <w:sz w:val="16"/>
              </w:rPr>
            </w:r>
            <w:r>
              <w:rPr>
                <w:rFonts w:ascii="Calibri" w:hAnsi="Calibri"/>
                <w:b/>
                <w:color w:val="333333"/>
                <w:sz w:val="16"/>
              </w:rPr>
              <w:t>Eastern Kazakhstan</w:t>
            </w:r>
            <w:r>
              <w:rPr>
                <w:rFonts w:ascii="Calibri" w:hAnsi="Calibri"/>
                <w:color w:val="333333"/>
                <w:sz w:val="16"/>
              </w:rPr>
            </w:r>
          </w:p>
        </w:tc>
        <w:tc>
          <w:tcPr>
            <w:tcW w:type="dxa" w:w="2948"/>
            <w:shd w:val="clear" w:color="auto" w:fill="F2F4F7"/>
            <w:vAlign w:val="top"/>
          </w:tcPr>
          <w:p>
            <w:r>
              <w:rPr>
                <w:rFonts w:ascii="Calibri" w:hAnsi="Calibri"/>
                <w:color w:val="333333"/>
                <w:sz w:val="16"/>
              </w:rPr>
              <w:t>KTZ Mointy–Kyzylzhar Rail (322 km) · Almaty Railway Bypass · Saryagash Bypass Road · KTZ Eurobond Station Upgrades</w:t>
            </w:r>
          </w:p>
        </w:tc>
        <w:tc>
          <w:tcPr>
            <w:tcW w:type="dxa" w:w="1984"/>
            <w:shd w:val="clear" w:color="auto" w:fill="F2F4F7"/>
            <w:vAlign w:val="top"/>
          </w:tcPr>
          <w:p>
            <w:r>
              <w:rPr>
                <w:rFonts w:ascii="Calibri" w:hAnsi="Calibri"/>
                <w:color w:val="333333"/>
                <w:sz w:val="16"/>
              </w:rPr>
            </w:r>
            <w:r>
              <w:rPr>
                <w:rFonts w:ascii="Calibri" w:hAnsi="Calibri"/>
                <w:b/>
                <w:color w:val="333333"/>
                <w:sz w:val="16"/>
              </w:rPr>
              <w:t>USD 2.21B</w:t>
            </w:r>
            <w:r>
              <w:rPr>
                <w:rFonts w:ascii="Calibri" w:hAnsi="Calibri"/>
                <w:color w:val="333333"/>
                <w:sz w:val="16"/>
              </w:rPr>
              <w:t xml:space="preserve"> (WB, AIIB, IFC, MIGA, EBRD, ADB)</w:t>
            </w:r>
          </w:p>
        </w:tc>
        <w:tc>
          <w:tcPr>
            <w:tcW w:type="dxa" w:w="3288"/>
            <w:shd w:val="clear" w:color="auto" w:fill="F2F4F7"/>
            <w:vAlign w:val="top"/>
          </w:tcPr>
          <w:p>
            <w:r>
              <w:rPr>
                <w:rFonts w:ascii="Calibri" w:hAnsi="Calibri"/>
                <w:color w:val="333333"/>
                <w:sz w:val="16"/>
              </w:rPr>
              <w:t>Primary freight origination hub; greenfield rail closes last eastern gap in TITR land route.</w:t>
            </w:r>
          </w:p>
        </w:tc>
      </w:tr>
      <w:tr>
        <w:tc>
          <w:tcPr>
            <w:tcW w:type="dxa" w:w="1701"/>
            <w:shd w:val="clear" w:color="auto" w:fill="FFFFFF"/>
            <w:vAlign w:val="top"/>
          </w:tcPr>
          <w:p>
            <w:r>
              <w:rPr>
                <w:rFonts w:ascii="Calibri" w:hAnsi="Calibri"/>
                <w:color w:val="333333"/>
                <w:sz w:val="16"/>
              </w:rPr>
            </w:r>
            <w:r>
              <w:rPr>
                <w:rFonts w:ascii="Calibri" w:hAnsi="Calibri"/>
                <w:b/>
                <w:color w:val="333333"/>
                <w:sz w:val="16"/>
              </w:rPr>
              <w:t>Caspian Crossing</w:t>
            </w:r>
            <w:r>
              <w:rPr>
                <w:rFonts w:ascii="Calibri" w:hAnsi="Calibri"/>
                <w:color w:val="333333"/>
                <w:sz w:val="16"/>
              </w:rPr>
            </w:r>
          </w:p>
        </w:tc>
        <w:tc>
          <w:tcPr>
            <w:tcW w:type="dxa" w:w="2948"/>
            <w:shd w:val="clear" w:color="auto" w:fill="FFFFFF"/>
            <w:vAlign w:val="top"/>
          </w:tcPr>
          <w:p>
            <w:r>
              <w:rPr>
                <w:rFonts w:ascii="Calibri" w:hAnsi="Calibri"/>
                <w:color w:val="333333"/>
                <w:sz w:val="16"/>
              </w:rPr>
              <w:t>Alat Port (expanded) · Caspian RoRo/ferry capacity enabled by upstream rail</w:t>
            </w:r>
          </w:p>
        </w:tc>
        <w:tc>
          <w:tcPr>
            <w:tcW w:type="dxa" w:w="1984"/>
            <w:shd w:val="clear" w:color="auto" w:fill="FFFFFF"/>
            <w:vAlign w:val="top"/>
          </w:tcPr>
          <w:p>
            <w:r>
              <w:rPr>
                <w:rFonts w:ascii="Calibri" w:hAnsi="Calibri"/>
                <w:color w:val="333333"/>
                <w:sz w:val="16"/>
              </w:rPr>
              <w:t>Committed via upstream investments</w:t>
            </w:r>
          </w:p>
        </w:tc>
        <w:tc>
          <w:tcPr>
            <w:tcW w:type="dxa" w:w="3288"/>
            <w:shd w:val="clear" w:color="auto" w:fill="FFFFFF"/>
            <w:vAlign w:val="top"/>
          </w:tcPr>
          <w:p>
            <w:r>
              <w:rPr>
                <w:rFonts w:ascii="Calibri" w:hAnsi="Calibri"/>
                <w:color w:val="333333"/>
                <w:sz w:val="16"/>
              </w:rPr>
              <w:t>Cross-Caspian link; throughput now upstream-constrained (Kazakhstan) and downstream-constrained (Georgia) — both now being addressed.</w:t>
            </w:r>
          </w:p>
        </w:tc>
      </w:tr>
      <w:tr>
        <w:tc>
          <w:tcPr>
            <w:tcW w:type="dxa" w:w="1701"/>
            <w:shd w:val="clear" w:color="auto" w:fill="F2F4F7"/>
            <w:vAlign w:val="top"/>
          </w:tcPr>
          <w:p>
            <w:r>
              <w:rPr>
                <w:rFonts w:ascii="Calibri" w:hAnsi="Calibri"/>
                <w:color w:val="333333"/>
                <w:sz w:val="16"/>
              </w:rPr>
            </w:r>
            <w:r>
              <w:rPr>
                <w:rFonts w:ascii="Calibri" w:hAnsi="Calibri"/>
                <w:b/>
                <w:color w:val="333333"/>
                <w:sz w:val="16"/>
              </w:rPr>
              <w:t>Azerbaijan</w:t>
            </w:r>
            <w:r>
              <w:rPr>
                <w:rFonts w:ascii="Calibri" w:hAnsi="Calibri"/>
                <w:color w:val="333333"/>
                <w:sz w:val="16"/>
              </w:rPr>
            </w:r>
          </w:p>
        </w:tc>
        <w:tc>
          <w:tcPr>
            <w:tcW w:type="dxa" w:w="2948"/>
            <w:shd w:val="clear" w:color="auto" w:fill="F2F4F7"/>
            <w:vAlign w:val="top"/>
          </w:tcPr>
          <w:p>
            <w:r>
              <w:rPr>
                <w:rFonts w:ascii="Calibri" w:hAnsi="Calibri"/>
                <w:color w:val="333333"/>
                <w:sz w:val="16"/>
              </w:rPr>
              <w:t>EBRD EUR 5B envelope · Baku Metro Green Line (USD 180M) · Ganja Water EUR 40M (Phase 1 of EUR 410M) · Karabakh Irrigation USD 436.67M · Sumqayit Wastewater USD 90.4M</w:t>
            </w:r>
          </w:p>
        </w:tc>
        <w:tc>
          <w:tcPr>
            <w:tcW w:type="dxa" w:w="1984"/>
            <w:shd w:val="clear" w:color="auto" w:fill="F2F4F7"/>
            <w:vAlign w:val="top"/>
          </w:tcPr>
          <w:p>
            <w:r>
              <w:rPr>
                <w:rFonts w:ascii="Calibri" w:hAnsi="Calibri"/>
                <w:color w:val="333333"/>
                <w:sz w:val="16"/>
              </w:rPr>
            </w:r>
            <w:r>
              <w:rPr>
                <w:rFonts w:ascii="Calibri" w:hAnsi="Calibri"/>
                <w:b/>
                <w:color w:val="333333"/>
                <w:sz w:val="16"/>
              </w:rPr>
              <w:t>EUR 5B+ envelope; USD 707M+ discrete</w:t>
            </w:r>
            <w:r>
              <w:rPr>
                <w:rFonts w:ascii="Calibri" w:hAnsi="Calibri"/>
                <w:color w:val="333333"/>
                <w:sz w:val="16"/>
              </w:rPr>
            </w:r>
          </w:p>
        </w:tc>
        <w:tc>
          <w:tcPr>
            <w:tcW w:type="dxa" w:w="3288"/>
            <w:shd w:val="clear" w:color="auto" w:fill="F2F4F7"/>
            <w:vAlign w:val="top"/>
          </w:tcPr>
          <w:p>
            <w:r>
              <w:rPr>
                <w:rFonts w:ascii="Calibri" w:hAnsi="Calibri"/>
                <w:color w:val="333333"/>
                <w:sz w:val="16"/>
              </w:rPr>
              <w:t>Post-conflict reconstruction node + green urban transition showcase; IsDB hosting amplifies GCC co-investor signal.</w:t>
            </w:r>
          </w:p>
        </w:tc>
      </w:tr>
      <w:tr>
        <w:tc>
          <w:tcPr>
            <w:tcW w:type="dxa" w:w="1701"/>
            <w:shd w:val="clear" w:color="auto" w:fill="FFFFFF"/>
            <w:vAlign w:val="top"/>
          </w:tcPr>
          <w:p>
            <w:r>
              <w:rPr>
                <w:rFonts w:ascii="Calibri" w:hAnsi="Calibri"/>
                <w:color w:val="333333"/>
                <w:sz w:val="16"/>
              </w:rPr>
            </w:r>
            <w:r>
              <w:rPr>
                <w:rFonts w:ascii="Calibri" w:hAnsi="Calibri"/>
                <w:b/>
                <w:color w:val="333333"/>
                <w:sz w:val="16"/>
              </w:rPr>
              <w:t>Georgia (Land Bridge)</w:t>
            </w:r>
            <w:r>
              <w:rPr>
                <w:rFonts w:ascii="Calibri" w:hAnsi="Calibri"/>
                <w:color w:val="333333"/>
                <w:sz w:val="16"/>
              </w:rPr>
            </w:r>
          </w:p>
        </w:tc>
        <w:tc>
          <w:tcPr>
            <w:tcW w:type="dxa" w:w="2948"/>
            <w:shd w:val="clear" w:color="auto" w:fill="FFFFFF"/>
            <w:vAlign w:val="top"/>
          </w:tcPr>
          <w:p>
            <w:r>
              <w:rPr>
                <w:rFonts w:ascii="Calibri" w:hAnsi="Calibri"/>
                <w:color w:val="333333"/>
                <w:sz w:val="16"/>
              </w:rPr>
              <w:t>TC-GATE Rail Electrification + Road Corridors</w:t>
            </w:r>
          </w:p>
        </w:tc>
        <w:tc>
          <w:tcPr>
            <w:tcW w:type="dxa" w:w="1984"/>
            <w:shd w:val="clear" w:color="auto" w:fill="FFFFFF"/>
            <w:vAlign w:val="top"/>
          </w:tcPr>
          <w:p>
            <w:r>
              <w:rPr>
                <w:rFonts w:ascii="Calibri" w:hAnsi="Calibri"/>
                <w:color w:val="333333"/>
                <w:sz w:val="16"/>
              </w:rPr>
            </w:r>
            <w:r>
              <w:rPr>
                <w:rFonts w:ascii="Calibri" w:hAnsi="Calibri"/>
                <w:b/>
                <w:color w:val="333333"/>
                <w:sz w:val="16"/>
              </w:rPr>
              <w:t>USD 729M</w:t>
            </w:r>
            <w:r>
              <w:rPr>
                <w:rFonts w:ascii="Calibri" w:hAnsi="Calibri"/>
                <w:color w:val="333333"/>
                <w:sz w:val="16"/>
              </w:rPr>
              <w:t xml:space="preserve"> (WB + ADB + AIIB)</w:t>
            </w:r>
          </w:p>
        </w:tc>
        <w:tc>
          <w:tcPr>
            <w:tcW w:type="dxa" w:w="3288"/>
            <w:shd w:val="clear" w:color="auto" w:fill="FFFFFF"/>
            <w:vAlign w:val="top"/>
          </w:tcPr>
          <w:p>
            <w:r>
              <w:rPr>
                <w:rFonts w:ascii="Calibri" w:hAnsi="Calibri"/>
                <w:color w:val="333333"/>
                <w:sz w:val="16"/>
              </w:rPr>
              <w:t>THE binding throughput constraint on the entire corridor. Electric loco + substation upgrades resolve 3–6M tonne/yr bottleneck. Without TC-GATE, USD 1.41B Kazakhstan rail and USD 6.75B INRAIL capacity are structurally disconnected.</w:t>
            </w:r>
          </w:p>
        </w:tc>
      </w:tr>
      <w:tr>
        <w:tc>
          <w:tcPr>
            <w:tcW w:type="dxa" w:w="1701"/>
            <w:shd w:val="clear" w:color="auto" w:fill="F2F4F7"/>
            <w:vAlign w:val="top"/>
          </w:tcPr>
          <w:p>
            <w:r>
              <w:rPr>
                <w:rFonts w:ascii="Calibri" w:hAnsi="Calibri"/>
                <w:color w:val="333333"/>
                <w:sz w:val="16"/>
              </w:rPr>
            </w:r>
            <w:r>
              <w:rPr>
                <w:rFonts w:ascii="Calibri" w:hAnsi="Calibri"/>
                <w:b/>
                <w:color w:val="333333"/>
                <w:sz w:val="16"/>
              </w:rPr>
              <w:t>Türkiye / Bosphorus</w:t>
            </w:r>
            <w:r>
              <w:rPr>
                <w:rFonts w:ascii="Calibri" w:hAnsi="Calibri"/>
                <w:color w:val="333333"/>
                <w:sz w:val="16"/>
              </w:rPr>
            </w:r>
          </w:p>
        </w:tc>
        <w:tc>
          <w:tcPr>
            <w:tcW w:type="dxa" w:w="2948"/>
            <w:shd w:val="clear" w:color="auto" w:fill="F2F4F7"/>
            <w:vAlign w:val="top"/>
          </w:tcPr>
          <w:p>
            <w:r>
              <w:rPr>
                <w:rFonts w:ascii="Calibri" w:hAnsi="Calibri"/>
                <w:color w:val="333333"/>
                <w:sz w:val="16"/>
              </w:rPr>
              <w:t>INRAIL Istanbul North Rail Crossing (127 km) · Green &amp; Future Cities EUR 191.5M · Arkas Maritime USD 40M · Sustainable OIZ USD 250M</w:t>
            </w:r>
          </w:p>
        </w:tc>
        <w:tc>
          <w:tcPr>
            <w:tcW w:type="dxa" w:w="1984"/>
            <w:shd w:val="clear" w:color="auto" w:fill="F2F4F7"/>
            <w:vAlign w:val="top"/>
          </w:tcPr>
          <w:p>
            <w:r>
              <w:rPr>
                <w:rFonts w:ascii="Calibri" w:hAnsi="Calibri"/>
                <w:color w:val="333333"/>
                <w:sz w:val="16"/>
              </w:rPr>
            </w:r>
            <w:r>
              <w:rPr>
                <w:rFonts w:ascii="Calibri" w:hAnsi="Calibri"/>
                <w:b/>
                <w:color w:val="333333"/>
                <w:sz w:val="16"/>
              </w:rPr>
              <w:t>USD 7.23B+</w:t>
            </w:r>
            <w:r>
              <w:rPr>
                <w:rFonts w:ascii="Calibri" w:hAnsi="Calibri"/>
                <w:color w:val="333333"/>
                <w:sz w:val="16"/>
              </w:rPr>
              <w:t xml:space="preserve"> (WB + 5 MDBs, EBRD, IFC, IsDB, ADB)</w:t>
            </w:r>
          </w:p>
        </w:tc>
        <w:tc>
          <w:tcPr>
            <w:tcW w:type="dxa" w:w="3288"/>
            <w:shd w:val="clear" w:color="auto" w:fill="F2F4F7"/>
            <w:vAlign w:val="top"/>
          </w:tcPr>
          <w:p>
            <w:r>
              <w:rPr>
                <w:rFonts w:ascii="Calibri" w:hAnsi="Calibri"/>
                <w:color w:val="333333"/>
                <w:sz w:val="16"/>
              </w:rPr>
              <w:t>Western terminus and global freight gateway; INRAIL's 3M→50M tonne/yr uplift is the corridor's ultimate value capture point.</w:t>
            </w:r>
          </w:p>
        </w:tc>
      </w:tr>
    </w:tbl>
    <w:p>
      <w:pPr>
        <w:spacing w:after="120"/>
      </w:pPr>
    </w:p>
    <w:p>
      <w:pPr>
        <w:pBdr>
          <w:bottom w:val="single" w:sz="12" w:space="1" w:color="C89620"/>
        </w:pBdr>
        <w:spacing w:before="40" w:after="120"/>
      </w:pPr>
    </w:p>
    <w:p>
      <w:pPr>
        <w:spacing w:before="200" w:after="80"/>
        <w:jc w:val="left"/>
      </w:pPr>
      <w:r>
        <w:rPr>
          <w:rFonts w:ascii="Calibri" w:hAnsi="Calibri"/>
          <w:b/>
          <w:color w:val="0A1F44"/>
          <w:sz w:val="24"/>
        </w:rPr>
        <w:t>RISK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val="clear" w:color="auto" w:fill="7B241C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Risk</w:t>
            </w:r>
          </w:p>
        </w:tc>
        <w:tc>
          <w:tcPr>
            <w:tcW w:type="dxa" w:w="2551"/>
            <w:shd w:val="clear" w:color="auto" w:fill="7B241C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Affected Entities</w:t>
            </w:r>
          </w:p>
        </w:tc>
        <w:tc>
          <w:tcPr>
            <w:tcW w:type="dxa" w:w="5102"/>
            <w:shd w:val="clear" w:color="auto" w:fill="7B241C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Assessment</w:t>
            </w:r>
          </w:p>
        </w:tc>
      </w:tr>
      <w:tr>
        <w:tc>
          <w:tcPr>
            <w:tcW w:type="dxa" w:w="2268"/>
            <w:shd w:val="clear" w:color="auto" w:fill="F2F4F7"/>
            <w:vAlign w:val="top"/>
          </w:tcPr>
          <w:p>
            <w:r>
              <w:rPr>
                <w:rFonts w:ascii="Calibri" w:hAnsi="Calibri"/>
                <w:color w:val="333333"/>
                <w:sz w:val="16"/>
              </w:rPr>
            </w:r>
            <w:r>
              <w:rPr>
                <w:rFonts w:ascii="Calibri" w:hAnsi="Calibri"/>
                <w:b/>
                <w:color w:val="333333"/>
                <w:sz w:val="16"/>
              </w:rPr>
              <w:t>KTZ Sovereign Debt Concentration</w:t>
            </w:r>
            <w:r>
              <w:rPr>
                <w:rFonts w:ascii="Calibri" w:hAnsi="Calibri"/>
                <w:color w:val="333333"/>
                <w:sz w:val="16"/>
              </w:rPr>
            </w:r>
          </w:p>
        </w:tc>
        <w:tc>
          <w:tcPr>
            <w:tcW w:type="dxa" w:w="2551"/>
            <w:shd w:val="clear" w:color="auto" w:fill="F2F4F7"/>
            <w:vAlign w:val="top"/>
          </w:tcPr>
          <w:p>
            <w:r>
              <w:rPr>
                <w:rFonts w:ascii="Calibri" w:hAnsi="Calibri"/>
                <w:color w:val="333333"/>
                <w:sz w:val="16"/>
              </w:rPr>
            </w:r>
            <w:r>
              <w:rPr>
                <w:rFonts w:ascii="Calibri" w:hAnsi="Calibri"/>
                <w:b/>
                <w:color w:val="333333"/>
                <w:sz w:val="16"/>
              </w:rPr>
              <w:t>Kazakhstan</w:t>
            </w:r>
            <w:r>
              <w:rPr>
                <w:rFonts w:ascii="Calibri" w:hAnsi="Calibri"/>
                <w:color w:val="333333"/>
                <w:sz w:val="16"/>
              </w:rPr>
              <w:t xml:space="preserve"> MoF, </w:t>
            </w:r>
            <w:r>
              <w:rPr>
                <w:rFonts w:ascii="Calibri" w:hAnsi="Calibri"/>
                <w:b/>
                <w:color w:val="333333"/>
                <w:sz w:val="16"/>
              </w:rPr>
              <w:t>KTZ</w:t>
            </w:r>
            <w:r>
              <w:rPr>
                <w:rFonts w:ascii="Calibri" w:hAnsi="Calibri"/>
                <w:color w:val="333333"/>
                <w:sz w:val="16"/>
              </w:rPr>
              <w:t xml:space="preserve">, </w:t>
            </w:r>
            <w:r>
              <w:rPr>
                <w:rFonts w:ascii="Calibri" w:hAnsi="Calibri"/>
                <w:b/>
                <w:color w:val="333333"/>
                <w:sz w:val="16"/>
              </w:rPr>
              <w:t>EBRD · World Bank · AIIB</w:t>
            </w:r>
            <w:r>
              <w:rPr>
                <w:rFonts w:ascii="Calibri" w:hAnsi="Calibri"/>
                <w:color w:val="333333"/>
                <w:sz w:val="16"/>
              </w:rPr>
            </w:r>
          </w:p>
        </w:tc>
        <w:tc>
          <w:tcPr>
            <w:tcW w:type="dxa" w:w="5102"/>
            <w:shd w:val="clear" w:color="auto" w:fill="F2F4F7"/>
            <w:vAlign w:val="top"/>
          </w:tcPr>
          <w:p>
            <w:r>
              <w:rPr>
                <w:rFonts w:ascii="Calibri" w:hAnsi="Calibri"/>
                <w:color w:val="333333"/>
                <w:sz w:val="16"/>
              </w:rPr>
              <w:t xml:space="preserve">Aggregate sovereign-guaranteed railway exposure exceeds </w:t>
            </w:r>
            <w:r>
              <w:rPr>
                <w:rFonts w:ascii="Calibri" w:hAnsi="Calibri"/>
                <w:b/>
                <w:color w:val="333333"/>
                <w:sz w:val="16"/>
              </w:rPr>
              <w:t>USD 3B</w:t>
            </w:r>
            <w:r>
              <w:rPr>
                <w:rFonts w:ascii="Calibri" w:hAnsi="Calibri"/>
                <w:color w:val="333333"/>
                <w:sz w:val="16"/>
              </w:rPr>
              <w:t xml:space="preserve"> in 2025–2026 alone. If TITR transit revenues disappoint, contingent liabilities crystallize on an already-stretched sovereign balance sheet. </w:t>
            </w:r>
            <w:r>
              <w:rPr>
                <w:rFonts w:ascii="Calibri" w:hAnsi="Calibri"/>
                <w:b/>
                <w:color w:val="333333"/>
                <w:sz w:val="16"/>
              </w:rPr>
              <w:t>ELEVATED.</w:t>
            </w:r>
            <w:r>
              <w:rPr>
                <w:rFonts w:ascii="Calibri" w:hAnsi="Calibri"/>
                <w:color w:val="333333"/>
                <w:sz w:val="16"/>
              </w:rPr>
            </w:r>
          </w:p>
        </w:tc>
      </w:tr>
      <w:tr>
        <w:tc>
          <w:tcPr>
            <w:tcW w:type="dxa" w:w="2268"/>
            <w:shd w:val="clear" w:color="auto" w:fill="FFFFFF"/>
            <w:vAlign w:val="top"/>
          </w:tcPr>
          <w:p>
            <w:r>
              <w:rPr>
                <w:rFonts w:ascii="Calibri" w:hAnsi="Calibri"/>
                <w:color w:val="333333"/>
                <w:sz w:val="16"/>
              </w:rPr>
            </w:r>
            <w:r>
              <w:rPr>
                <w:rFonts w:ascii="Calibri" w:hAnsi="Calibri"/>
                <w:b/>
                <w:color w:val="333333"/>
                <w:sz w:val="16"/>
              </w:rPr>
              <w:t>Azerbaijan Water Sector Absorptive Capacity</w:t>
            </w:r>
            <w:r>
              <w:rPr>
                <w:rFonts w:ascii="Calibri" w:hAnsi="Calibri"/>
                <w:color w:val="333333"/>
                <w:sz w:val="16"/>
              </w:rPr>
            </w:r>
          </w:p>
        </w:tc>
        <w:tc>
          <w:tcPr>
            <w:tcW w:type="dxa" w:w="2551"/>
            <w:shd w:val="clear" w:color="auto" w:fill="FFFFFF"/>
            <w:vAlign w:val="top"/>
          </w:tcPr>
          <w:p>
            <w:r>
              <w:rPr>
                <w:rFonts w:ascii="Calibri" w:hAnsi="Calibri"/>
                <w:color w:val="333333"/>
                <w:sz w:val="16"/>
              </w:rPr>
            </w:r>
            <w:r>
              <w:rPr>
                <w:rFonts w:ascii="Calibri" w:hAnsi="Calibri"/>
                <w:b/>
                <w:color w:val="333333"/>
                <w:sz w:val="16"/>
              </w:rPr>
              <w:t>Azersu · MACP</w:t>
            </w:r>
            <w:r>
              <w:rPr>
                <w:rFonts w:ascii="Calibri" w:hAnsi="Calibri"/>
                <w:color w:val="333333"/>
                <w:sz w:val="16"/>
              </w:rPr>
              <w:t xml:space="preserve">, </w:t>
            </w:r>
            <w:r>
              <w:rPr>
                <w:rFonts w:ascii="Calibri" w:hAnsi="Calibri"/>
                <w:b/>
                <w:color w:val="333333"/>
                <w:sz w:val="16"/>
              </w:rPr>
              <w:t>EBRD · OPEC Fund · IsDB</w:t>
            </w:r>
            <w:r>
              <w:rPr>
                <w:rFonts w:ascii="Calibri" w:hAnsi="Calibri"/>
                <w:color w:val="333333"/>
                <w:sz w:val="16"/>
              </w:rPr>
            </w:r>
          </w:p>
        </w:tc>
        <w:tc>
          <w:tcPr>
            <w:tcW w:type="dxa" w:w="5102"/>
            <w:shd w:val="clear" w:color="auto" w:fill="FFFFFF"/>
            <w:vAlign w:val="top"/>
          </w:tcPr>
          <w:p>
            <w:r>
              <w:rPr>
                <w:rFonts w:ascii="Calibri" w:hAnsi="Calibri"/>
                <w:color w:val="333333"/>
                <w:sz w:val="16"/>
              </w:rPr>
            </w:r>
            <w:r>
              <w:rPr>
                <w:rFonts w:ascii="Calibri" w:hAnsi="Calibri"/>
                <w:b/>
                <w:color w:val="333333"/>
                <w:sz w:val="16"/>
              </w:rPr>
              <w:t>EUR 410M+</w:t>
            </w:r>
            <w:r>
              <w:rPr>
                <w:rFonts w:ascii="Calibri" w:hAnsi="Calibri"/>
                <w:color w:val="333333"/>
                <w:sz w:val="16"/>
              </w:rPr>
              <w:t xml:space="preserve"> water programme scope vs. implementing agency procurement capacity creates disbursement bottleneck risk. ADB TA (est. USD 0.5–2M) materially insufficient for transaction volume. Karabakh timeline slippage carries direct political cost. </w:t>
            </w:r>
            <w:r>
              <w:rPr>
                <w:rFonts w:ascii="Calibri" w:hAnsi="Calibri"/>
                <w:b/>
                <w:color w:val="333333"/>
                <w:sz w:val="16"/>
              </w:rPr>
              <w:t>MODERATE–ELEVATED.</w:t>
            </w:r>
            <w:r>
              <w:rPr>
                <w:rFonts w:ascii="Calibri" w:hAnsi="Calibri"/>
                <w:color w:val="333333"/>
                <w:sz w:val="16"/>
              </w:rPr>
            </w:r>
          </w:p>
        </w:tc>
      </w:tr>
      <w:tr>
        <w:tc>
          <w:tcPr>
            <w:tcW w:type="dxa" w:w="2268"/>
            <w:shd w:val="clear" w:color="auto" w:fill="F2F4F7"/>
            <w:vAlign w:val="top"/>
          </w:tcPr>
          <w:p>
            <w:r>
              <w:rPr>
                <w:rFonts w:ascii="Calibri" w:hAnsi="Calibri"/>
                <w:color w:val="333333"/>
                <w:sz w:val="16"/>
              </w:rPr>
            </w:r>
            <w:r>
              <w:rPr>
                <w:rFonts w:ascii="Calibri" w:hAnsi="Calibri"/>
                <w:b/>
                <w:color w:val="333333"/>
                <w:sz w:val="16"/>
              </w:rPr>
              <w:t>EDB Sanctions Permeability</w:t>
            </w:r>
            <w:r>
              <w:rPr>
                <w:rFonts w:ascii="Calibri" w:hAnsi="Calibri"/>
                <w:color w:val="333333"/>
                <w:sz w:val="16"/>
              </w:rPr>
            </w:r>
          </w:p>
        </w:tc>
        <w:tc>
          <w:tcPr>
            <w:tcW w:type="dxa" w:w="2551"/>
            <w:shd w:val="clear" w:color="auto" w:fill="F2F4F7"/>
            <w:vAlign w:val="top"/>
          </w:tcPr>
          <w:p>
            <w:r>
              <w:rPr>
                <w:rFonts w:ascii="Calibri" w:hAnsi="Calibri"/>
                <w:color w:val="333333"/>
                <w:sz w:val="16"/>
              </w:rPr>
            </w:r>
            <w:r>
              <w:rPr>
                <w:rFonts w:ascii="Calibri" w:hAnsi="Calibri"/>
                <w:b/>
                <w:color w:val="333333"/>
                <w:sz w:val="16"/>
              </w:rPr>
              <w:t>EDB</w:t>
            </w:r>
            <w:r>
              <w:rPr>
                <w:rFonts w:ascii="Calibri" w:hAnsi="Calibri"/>
                <w:color w:val="333333"/>
                <w:sz w:val="16"/>
              </w:rPr>
              <w:t>, Western co-investors, correspondent banks in EDB-adjacent deals</w:t>
            </w:r>
          </w:p>
        </w:tc>
        <w:tc>
          <w:tcPr>
            <w:tcW w:type="dxa" w:w="5102"/>
            <w:shd w:val="clear" w:color="auto" w:fill="F2F4F7"/>
            <w:vAlign w:val="top"/>
          </w:tcPr>
          <w:p>
            <w:r>
              <w:rPr>
                <w:rFonts w:ascii="Calibri" w:hAnsi="Calibri"/>
                <w:color w:val="333333"/>
                <w:sz w:val="16"/>
              </w:rPr>
              <w:t xml:space="preserve">Russia + Belarus ownership + expanding non-member state footprint (Uzbekistan fintech, Tajikistan logistics) creates OFAC/EU secondary sanctions exposure systematically underpriced in current frameworks. </w:t>
            </w:r>
            <w:r>
              <w:rPr>
                <w:rFonts w:ascii="Calibri" w:hAnsi="Calibri"/>
                <w:b/>
                <w:color w:val="333333"/>
                <w:sz w:val="16"/>
              </w:rPr>
              <w:t>MODERATE — trending ELEVATED.</w:t>
            </w:r>
            <w:r>
              <w:rPr>
                <w:rFonts w:ascii="Calibri" w:hAnsi="Calibri"/>
                <w:color w:val="333333"/>
                <w:sz w:val="16"/>
              </w:rPr>
            </w:r>
          </w:p>
        </w:tc>
      </w:tr>
    </w:tbl>
    <w:p>
      <w:pPr>
        <w:spacing w:after="120"/>
      </w:pPr>
    </w:p>
    <w:p>
      <w:pPr>
        <w:pBdr>
          <w:bottom w:val="single" w:sz="12" w:space="1" w:color="C89620"/>
        </w:pBdr>
        <w:spacing w:before="40" w:after="120"/>
      </w:pPr>
    </w:p>
    <w:p>
      <w:pPr>
        <w:spacing w:before="200" w:after="80"/>
        <w:jc w:val="left"/>
      </w:pPr>
      <w:r>
        <w:rPr>
          <w:rFonts w:ascii="Calibri" w:hAnsi="Calibri"/>
          <w:b/>
          <w:color w:val="0A1F44"/>
          <w:sz w:val="24"/>
        </w:rPr>
        <w:t>FORWARD CALENDAR: 72-HOUR CRITICAL WINDOW</w:t>
      </w:r>
    </w:p>
    <w:p>
      <w:pPr>
        <w:spacing w:after="80" w:before="0"/>
      </w:pPr>
      <w:r>
        <w:rPr>
          <w:rFonts w:ascii="Calibri" w:hAnsi="Calibri"/>
          <w:color w:val="C89620"/>
          <w:sz w:val="19"/>
        </w:rPr>
        <w:t>IsDB Baku Annual Meetings &amp; TIIF Tashkent — June 16–19, 2026</w:t>
      </w:r>
    </w:p>
    <w:p>
      <w:pPr>
        <w:pStyle w:val="ListBullet"/>
        <w:spacing w:after="60" w:before="20"/>
        <w:ind w:left="360"/>
      </w:pPr>
      <w:r>
        <w:rPr>
          <w:rFonts w:ascii="Calibri" w:hAnsi="Calibri"/>
          <w:color w:val="333333"/>
          <w:sz w:val="19"/>
        </w:rPr>
        <w:t xml:space="preserve">Watch for </w:t>
      </w:r>
      <w:r>
        <w:rPr>
          <w:rFonts w:ascii="Calibri" w:hAnsi="Calibri"/>
          <w:b/>
          <w:color w:val="333333"/>
          <w:sz w:val="19"/>
        </w:rPr>
        <w:t>IsDB USD 436.67M Karabakh Irrigation</w:t>
      </w:r>
      <w:r>
        <w:rPr>
          <w:rFonts w:ascii="Calibri" w:hAnsi="Calibri"/>
          <w:color w:val="333333"/>
          <w:sz w:val="19"/>
        </w:rPr>
        <w:t xml:space="preserve"> formal signing — converts political signal to disbursement-grade commitment and sets GCC co-investor precedent for post-conflict reconstruction financing.</w:t>
      </w:r>
    </w:p>
    <w:p>
      <w:pPr>
        <w:pStyle w:val="ListBullet"/>
        <w:spacing w:after="60" w:before="20"/>
        <w:ind w:left="360"/>
      </w:pPr>
      <w:r>
        <w:rPr>
          <w:rFonts w:ascii="Calibri" w:hAnsi="Calibri"/>
          <w:color w:val="333333"/>
          <w:sz w:val="19"/>
        </w:rPr>
        <w:t xml:space="preserve">Monitor </w:t>
      </w:r>
      <w:r>
        <w:rPr>
          <w:rFonts w:ascii="Calibri" w:hAnsi="Calibri"/>
          <w:b/>
          <w:color w:val="333333"/>
          <w:sz w:val="19"/>
        </w:rPr>
        <w:t>IsDB sukuk framework announcement</w:t>
      </w:r>
      <w:r>
        <w:rPr>
          <w:rFonts w:ascii="Calibri" w:hAnsi="Calibri"/>
          <w:color w:val="333333"/>
          <w:sz w:val="19"/>
        </w:rPr>
        <w:t xml:space="preserve"> and </w:t>
      </w:r>
      <w:r>
        <w:rPr>
          <w:rFonts w:ascii="Calibri" w:hAnsi="Calibri"/>
          <w:b/>
          <w:color w:val="333333"/>
          <w:sz w:val="19"/>
        </w:rPr>
        <w:t>Alat FEZ GCC co-investment MOUs</w:t>
      </w:r>
      <w:r>
        <w:rPr>
          <w:rFonts w:ascii="Calibri" w:hAnsi="Calibri"/>
          <w:color w:val="333333"/>
          <w:sz w:val="19"/>
        </w:rPr>
        <w:t xml:space="preserve"> — would materially expand Gulf capital's structural role in Azerbaijan's reconstruction corridor.</w:t>
      </w:r>
    </w:p>
    <w:p>
      <w:pPr>
        <w:pStyle w:val="ListBullet"/>
        <w:spacing w:after="60" w:before="20"/>
        <w:ind w:left="360"/>
      </w:pPr>
      <w:r>
        <w:rPr>
          <w:rFonts w:ascii="Calibri" w:hAnsi="Calibri"/>
          <w:color w:val="333333"/>
          <w:sz w:val="19"/>
        </w:rPr>
        <w:t xml:space="preserve">At </w:t>
      </w:r>
      <w:r>
        <w:rPr>
          <w:rFonts w:ascii="Calibri" w:hAnsi="Calibri"/>
          <w:b/>
          <w:color w:val="333333"/>
          <w:sz w:val="19"/>
        </w:rPr>
        <w:t>TIIF Tashkent</w:t>
      </w:r>
      <w:r>
        <w:rPr>
          <w:rFonts w:ascii="Calibri" w:hAnsi="Calibri"/>
          <w:color w:val="333333"/>
          <w:sz w:val="19"/>
        </w:rPr>
        <w:t xml:space="preserve">, track whether </w:t>
      </w:r>
      <w:r>
        <w:rPr>
          <w:rFonts w:ascii="Calibri" w:hAnsi="Calibri"/>
          <w:b/>
          <w:color w:val="333333"/>
          <w:sz w:val="19"/>
        </w:rPr>
        <w:t>NDB makes its first Uzbekistan engagement</w:t>
      </w:r>
      <w:r>
        <w:rPr>
          <w:rFonts w:ascii="Calibri" w:hAnsi="Calibri"/>
          <w:color w:val="333333"/>
          <w:sz w:val="19"/>
        </w:rPr>
        <w:t xml:space="preserve"> public — NDB entry would signal BRICS-aligned capital competing directly with Western MDB platforms in Central Asia.</w:t>
      </w:r>
    </w:p>
    <w:p>
      <w:pPr>
        <w:pStyle w:val="ListBullet"/>
        <w:spacing w:after="60" w:before="20"/>
        <w:ind w:left="360"/>
      </w:pPr>
      <w:r>
        <w:rPr>
          <w:rFonts w:ascii="Calibri" w:hAnsi="Calibri"/>
          <w:color w:val="333333"/>
          <w:sz w:val="19"/>
        </w:rPr>
        <w:t xml:space="preserve">Watch for </w:t>
      </w:r>
      <w:r>
        <w:rPr>
          <w:rFonts w:ascii="Calibri" w:hAnsi="Calibri"/>
          <w:b/>
          <w:color w:val="333333"/>
          <w:sz w:val="19"/>
        </w:rPr>
        <w:t>ADB Uzbekistan energy sector announcement</w:t>
      </w:r>
      <w:r>
        <w:rPr>
          <w:rFonts w:ascii="Calibri" w:hAnsi="Calibri"/>
          <w:color w:val="333333"/>
          <w:sz w:val="19"/>
        </w:rPr>
        <w:t xml:space="preserve"> at TIIF — likely a large-scale renewable or grid commitment extending the Bash 2 Wind (300 MW) template.</w:t>
      </w:r>
    </w:p>
    <w:p>
      <w:pPr>
        <w:pStyle w:val="ListBullet"/>
        <w:spacing w:after="60" w:before="20"/>
        <w:ind w:left="360"/>
      </w:pPr>
      <w:r>
        <w:rPr>
          <w:rFonts w:ascii="Calibri" w:hAnsi="Calibri"/>
          <w:color w:val="333333"/>
          <w:sz w:val="19"/>
        </w:rPr>
        <w:t xml:space="preserve">Monitor </w:t>
      </w:r>
      <w:r>
        <w:rPr>
          <w:rFonts w:ascii="Calibri" w:hAnsi="Calibri"/>
          <w:b/>
          <w:color w:val="333333"/>
          <w:sz w:val="19"/>
        </w:rPr>
        <w:t>IFC Highland Fund II LP close progress</w:t>
      </w:r>
      <w:r>
        <w:rPr>
          <w:rFonts w:ascii="Calibri" w:hAnsi="Calibri"/>
          <w:color w:val="333333"/>
          <w:sz w:val="19"/>
        </w:rPr>
        <w:t xml:space="preserve"> — whether </w:t>
      </w:r>
      <w:r>
        <w:rPr>
          <w:rFonts w:ascii="Calibri" w:hAnsi="Calibri"/>
          <w:b/>
          <w:color w:val="333333"/>
          <w:sz w:val="19"/>
        </w:rPr>
        <w:t>NFRK (Kazakhstan)</w:t>
      </w:r>
      <w:r>
        <w:rPr>
          <w:rFonts w:ascii="Calibri" w:hAnsi="Calibri"/>
          <w:color w:val="333333"/>
          <w:sz w:val="19"/>
        </w:rPr>
        <w:t xml:space="preserve"> or </w:t>
      </w:r>
      <w:r>
        <w:rPr>
          <w:rFonts w:ascii="Calibri" w:hAnsi="Calibri"/>
          <w:b/>
          <w:color w:val="333333"/>
          <w:sz w:val="19"/>
        </w:rPr>
        <w:t>UzFund (Uzbekistan)</w:t>
      </w:r>
      <w:r>
        <w:rPr>
          <w:rFonts w:ascii="Calibri" w:hAnsi="Calibri"/>
          <w:color w:val="333333"/>
          <w:sz w:val="19"/>
        </w:rPr>
        <w:t xml:space="preserve"> anchor commitments are confirmed determines the fund's private capital mobilization credibility.</w:t>
      </w:r>
    </w:p>
    <w:p>
      <w:pPr>
        <w:pStyle w:val="ListBullet"/>
        <w:spacing w:after="60" w:before="20"/>
        <w:ind w:left="360"/>
      </w:pPr>
      <w:r>
        <w:rPr>
          <w:rFonts w:ascii="Calibri" w:hAnsi="Calibri"/>
          <w:color w:val="333333"/>
          <w:sz w:val="19"/>
        </w:rPr>
        <w:t xml:space="preserve">Apply </w:t>
      </w:r>
      <w:r>
        <w:rPr>
          <w:rFonts w:ascii="Calibri" w:hAnsi="Calibri"/>
          <w:b/>
          <w:color w:val="333333"/>
          <w:sz w:val="19"/>
        </w:rPr>
        <w:t>MOU-to-disbursement conversion scrutiny</w:t>
      </w:r>
      <w:r>
        <w:rPr>
          <w:rFonts w:ascii="Calibri" w:hAnsi="Calibri"/>
          <w:color w:val="333333"/>
          <w:sz w:val="19"/>
        </w:rPr>
        <w:t xml:space="preserve"> across all TIIF announcements — the execution gap between headline figures and first-disbursement timelines is the primary risk in the Uzbekistan market.</w:t>
      </w:r>
    </w:p>
    <w:p>
      <w:pPr>
        <w:pBdr>
          <w:bottom w:val="single" w:sz="12" w:space="1" w:color="C89620"/>
        </w:pBdr>
        <w:spacing w:before="40" w:after="120"/>
      </w:pPr>
    </w:p>
    <w:p>
      <w:pPr>
        <w:spacing w:before="200" w:after="80"/>
        <w:jc w:val="left"/>
      </w:pPr>
      <w:r>
        <w:rPr>
          <w:rFonts w:ascii="Calibri" w:hAnsi="Calibri"/>
          <w:b/>
          <w:color w:val="1A7348"/>
          <w:sz w:val="24"/>
        </w:rPr>
        <w:t>OPPORTUNITY FLAGS</w:t>
      </w:r>
    </w:p>
    <w:p>
      <w:pPr>
        <w:pStyle w:val="ListBullet"/>
        <w:spacing w:after="60" w:before="20"/>
        <w:ind w:left="360"/>
      </w:pPr>
      <w:r>
        <w:rPr>
          <w:rFonts w:ascii="Calibri" w:hAnsi="Calibri"/>
          <w:color w:val="333333"/>
          <w:sz w:val="19"/>
        </w:rPr>
      </w:r>
      <w:r>
        <w:rPr>
          <w:rFonts w:ascii="Calibri" w:hAnsi="Calibri"/>
          <w:b/>
          <w:color w:val="333333"/>
          <w:sz w:val="19"/>
        </w:rPr>
        <w:t>Tajikistan as underpriced infrastructure entry point:</w:t>
      </w:r>
      <w:r>
        <w:rPr>
          <w:rFonts w:ascii="Calibri" w:hAnsi="Calibri"/>
          <w:color w:val="333333"/>
          <w:sz w:val="19"/>
        </w:rPr>
        <w:t xml:space="preserve"> Five distinct MDB transactions this week, aggregating </w:t>
      </w:r>
      <w:r>
        <w:rPr>
          <w:rFonts w:ascii="Calibri" w:hAnsi="Calibri"/>
          <w:b/>
          <w:color w:val="333333"/>
          <w:sz w:val="19"/>
        </w:rPr>
        <w:t>&gt;USD 900M</w:t>
      </w:r>
      <w:r>
        <w:rPr>
          <w:rFonts w:ascii="Calibri" w:hAnsi="Calibri"/>
          <w:color w:val="333333"/>
          <w:sz w:val="19"/>
        </w:rPr>
        <w:t xml:space="preserve"> in commitments against a </w:t>
      </w:r>
      <w:r>
        <w:rPr>
          <w:rFonts w:ascii="Calibri" w:hAnsi="Calibri"/>
          <w:b/>
          <w:color w:val="333333"/>
          <w:sz w:val="19"/>
        </w:rPr>
        <w:t>USD 12B GDP</w:t>
      </w:r>
      <w:r>
        <w:rPr>
          <w:rFonts w:ascii="Calibri" w:hAnsi="Calibri"/>
          <w:color w:val="333333"/>
          <w:sz w:val="19"/>
        </w:rPr>
        <w:t xml:space="preserve"> economy — the highest MDB capital intensity ratio in the region. </w:t>
      </w:r>
      <w:r>
        <w:rPr>
          <w:rFonts w:ascii="Calibri" w:hAnsi="Calibri"/>
          <w:b/>
          <w:color w:val="333333"/>
          <w:sz w:val="19"/>
        </w:rPr>
        <w:t>AIIB's USD 800M pipeline</w:t>
      </w:r>
      <w:r>
        <w:rPr>
          <w:rFonts w:ascii="Calibri" w:hAnsi="Calibri"/>
          <w:color w:val="333333"/>
          <w:sz w:val="19"/>
        </w:rPr>
        <w:t xml:space="preserve"> remains underpopulated on the private co-investment side; first-mover positioning across energy, logistics, and digital is available now at pre-competition pricing.</w:t>
      </w:r>
    </w:p>
    <w:p>
      <w:pPr>
        <w:pStyle w:val="ListBullet"/>
        <w:spacing w:after="60" w:before="20"/>
        <w:ind w:left="360"/>
      </w:pPr>
      <w:r>
        <w:rPr>
          <w:rFonts w:ascii="Calibri" w:hAnsi="Calibri"/>
          <w:color w:val="333333"/>
          <w:sz w:val="19"/>
        </w:rPr>
      </w:r>
      <w:r>
        <w:rPr>
          <w:rFonts w:ascii="Calibri" w:hAnsi="Calibri"/>
          <w:b/>
          <w:color w:val="333333"/>
          <w:sz w:val="19"/>
        </w:rPr>
        <w:t>TIIF Tashkent as compressed LP access window:</w:t>
      </w:r>
      <w:r>
        <w:rPr>
          <w:rFonts w:ascii="Calibri" w:hAnsi="Calibri"/>
          <w:color w:val="333333"/>
          <w:sz w:val="19"/>
        </w:rPr>
        <w:t xml:space="preserve"> </w:t>
      </w:r>
      <w:r>
        <w:rPr>
          <w:rFonts w:ascii="Calibri" w:hAnsi="Calibri"/>
          <w:b/>
          <w:color w:val="333333"/>
          <w:sz w:val="19"/>
        </w:rPr>
        <w:t>8,300+ participants</w:t>
      </w:r>
      <w:r>
        <w:rPr>
          <w:rFonts w:ascii="Calibri" w:hAnsi="Calibri"/>
          <w:color w:val="333333"/>
          <w:sz w:val="19"/>
        </w:rPr>
        <w:t xml:space="preserve">, ministerial-level Uzbek counterparts, and eight MDB heads co-located for 72 hours is the highest-density Central Asian capital introduction environment of 2026. Fund managers targeting </w:t>
      </w:r>
      <w:r>
        <w:rPr>
          <w:rFonts w:ascii="Calibri" w:hAnsi="Calibri"/>
          <w:b/>
          <w:color w:val="333333"/>
          <w:sz w:val="19"/>
        </w:rPr>
        <w:t>NFRK or UzFund LP commitments</w:t>
      </w:r>
      <w:r>
        <w:rPr>
          <w:rFonts w:ascii="Calibri" w:hAnsi="Calibri"/>
          <w:color w:val="333333"/>
          <w:sz w:val="19"/>
        </w:rPr>
        <w:t xml:space="preserve"> should deploy senior relationship capital this week — the </w:t>
      </w:r>
      <w:r>
        <w:rPr>
          <w:rFonts w:ascii="Calibri" w:hAnsi="Calibri"/>
          <w:b/>
          <w:color w:val="333333"/>
          <w:sz w:val="19"/>
        </w:rPr>
        <w:t>IFC Highland Fund II</w:t>
      </w:r>
      <w:r>
        <w:rPr>
          <w:rFonts w:ascii="Calibri" w:hAnsi="Calibri"/>
          <w:color w:val="333333"/>
          <w:sz w:val="19"/>
        </w:rPr>
        <w:t xml:space="preserve"> co-investment narrative provides a credible institutional anchor.</w:t>
      </w:r>
    </w:p>
    <w:p>
      <w:pPr>
        <w:pBdr>
          <w:bottom w:val="single" w:sz="12" w:space="1" w:color="C89620"/>
        </w:pBdr>
        <w:spacing w:before="40" w:after="120"/>
      </w:pPr>
    </w:p>
    <w:p>
      <w:pPr>
        <w:jc w:val="center"/>
      </w:pPr>
      <w:r>
        <w:rPr>
          <w:rFonts w:ascii="Calibri" w:hAnsi="Calibri"/>
          <w:i/>
          <w:color w:val="888888"/>
          <w:sz w:val="16"/>
        </w:rPr>
        <w:t>CLASSIFICATION: Senior Distribution — C-Suite &amp; Board Advisory  |  Prepared: June 15, 2026  |  Not for public release or redistribution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