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 Academic Document Model Architecture</w:t>
      </w:r>
    </w:p>
    <w:p>
      <w:r>
        <w:t>Alice Smith1, Bob Jones1,2, Charlie Brown2</w:t>
      </w:r>
    </w:p>
    <w:p>
      <w:r>
        <w:t>1 Department of Computer Science, Stanford University, CA, USA</w:t>
      </w:r>
    </w:p>
    <w:p>
      <w:r>
        <w:t>2 Department of Electrical Engineering, MIT, MA, USA</w:t>
      </w:r>
    </w:p>
    <w:p>
      <w:r>
        <w:t>Abstract: Academic document conversion requires semantic structure and multi-figure preservation.</w:t>
      </w:r>
    </w:p>
    <w:p>
      <w:pPr>
        <w:pStyle w:val="Heading1"/>
      </w:pPr>
      <w:r>
        <w:t>1. Introduction</w:t>
      </w:r>
    </w:p>
    <w:p>
      <w:r>
        <w:t>This manuscript demonstrates automatic document compilation from DOCX format.</w:t>
      </w:r>
    </w:p>
    <w:p>
      <w:r>
        <w:t>Overview of system design is depicted below.</w:t>
      </w:r>
    </w:p>
    <w:p>
      <w:r>
        <w:drawing>
          <wp:inline xmlns:a="http://schemas.openxmlformats.org/drawingml/2006/main" xmlns:pic="http://schemas.openxmlformats.org/drawingml/2006/picture">
            <wp:extent cx="2743200" cy="11756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ample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7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Architecture Pipeline Diagram</w:t>
      </w:r>
    </w:p>
    <w:p>
      <w:pPr>
        <w:pStyle w:val="Heading1"/>
      </w:pPr>
      <w:r>
        <w:t>2. System Design</w:t>
      </w:r>
    </w:p>
    <w:p>
      <w:r>
        <w:t>The parser extracts sections, tables, and figures.</w:t>
      </w:r>
    </w:p>
    <w:p>
      <w:r>
        <w:drawing>
          <wp:inline xmlns:a="http://schemas.openxmlformats.org/drawingml/2006/main" xmlns:pic="http://schemas.openxmlformats.org/drawingml/2006/picture">
            <wp:extent cx="2743200" cy="11756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ample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7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Data Flow Chart</w:t>
      </w:r>
    </w:p>
    <w:p>
      <w:pPr>
        <w:pStyle w:val="Heading1"/>
      </w:pPr>
      <w:r>
        <w:t>3. Experimental Evaluation</w:t>
      </w:r>
    </w:p>
    <w:p>
      <w:r>
        <w:t>Performance across workflows is shown in Figure 3.</w:t>
      </w:r>
    </w:p>
    <w:p>
      <w:r>
        <w:drawing>
          <wp:inline xmlns:a="http://schemas.openxmlformats.org/drawingml/2006/main" xmlns:pic="http://schemas.openxmlformats.org/drawingml/2006/picture">
            <wp:extent cx="2743200" cy="1175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sample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75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Experimental Results 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Parsing Confidence</w:t>
            </w:r>
          </w:p>
        </w:tc>
        <w:tc>
          <w:tcPr>
            <w:tcW w:type="dxa" w:w="4320"/>
          </w:tcPr>
          <w:p>
            <w:r>
              <w:t>97%</w:t>
            </w:r>
          </w:p>
        </w:tc>
      </w:tr>
    </w:tbl>
    <w:p>
      <w:pPr>
        <w:pStyle w:val="Heading1"/>
      </w:pPr>
      <w:r>
        <w:t>References</w:t>
      </w:r>
    </w:p>
    <w:p>
      <w:r>
        <w:t>[1] Smith, A. Universal Document Compiler,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