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F4E79"/>
          <w:sz w:val="48"/>
          <w:szCs w:val="48"/>
        </w:rPr>
        <w:t xml:space="preserve">Lebedev Finite-Difference Maxwell Solver</w:t>
      </w:r>
    </w:p>
    <w:p>
      <w:pPr>
        <w:spacing w:after="40" w:before="0"/>
        <w:jc w:val="center"/>
      </w:pPr>
      <w:r>
        <w:rPr>
          <w:rFonts w:ascii="Arial" w:cs="Arial" w:eastAsia="Arial" w:hAnsi="Arial"/>
          <w:color w:val="2E75B6"/>
          <w:sz w:val="28"/>
          <w:szCs w:val="28"/>
        </w:rPr>
        <w:t xml:space="preserve">Code Overview, Parameters, and the DDH03 Borehole Example</w:t>
      </w:r>
    </w:p>
    <w:p>
      <w:pPr>
        <w:spacing w:after="300" w:before="0"/>
        <w:jc w:val="center"/>
      </w:pPr>
      <w:r>
        <w:rPr>
          <w:rFonts w:ascii="Arial" w:cs="Arial" w:eastAsia="Arial" w:hAnsi="Arial"/>
          <w:i/>
          <w:iCs/>
          <w:color w:val="888888"/>
          <w:sz w:val="22"/>
          <w:szCs w:val="22"/>
        </w:rPr>
        <w:t xml:space="preserve">May 2026</w:t>
      </w:r>
    </w:p>
    <w:p>
      <w:pPr>
        <w:pBdr>
          <w:bottom w:val="single" w:color="BDD7EE" w:sz="4" w:space="1"/>
        </w:pBdr>
        <w:spacing w:after="80" w:before="80"/>
      </w:pPr>
    </w:p>
    <w:p>
      <w:pPr>
        <w:spacing w:after="60" w:before="60"/>
      </w:pPr>
    </w:p>
    <w:p>
      <w:pPr>
        <w:spacing w:after="120" w:before="200"/>
      </w:pPr>
      <w:r>
        <w:rPr>
          <w:rFonts w:ascii="Arial" w:cs="Arial" w:eastAsia="Arial" w:hAnsi="Arial"/>
          <w:b/>
          <w:bCs/>
          <w:color w:val="1F4E79"/>
          <w:sz w:val="36"/>
          <w:szCs w:val="36"/>
        </w:rPr>
        <w:t xml:space="preserve">Part I: Code Description</w:t>
      </w:r>
    </w:p>
    <w:p>
      <w:pPr>
        <w:pBdr>
          <w:bottom w:val="single" w:color="BDD7EE" w:sz="4" w:space="1"/>
        </w:pBdr>
        <w:spacing w:after="80" w:before="80"/>
      </w:pPr>
    </w:p>
    <w:p>
      <w:pPr>
        <w:spacing w:after="60" w:before="60"/>
      </w:pPr>
    </w:p>
    <w:p>
      <w:pPr>
        <w:pStyle w:val="Heading1"/>
        <w:spacing w:after="120" w:before="280"/>
      </w:pPr>
      <w:r>
        <w:rPr>
          <w:rFonts w:ascii="Arial" w:cs="Arial" w:eastAsia="Arial" w:hAnsi="Arial"/>
          <w:b/>
          <w:bCs/>
          <w:color w:val="1F4E79"/>
          <w:sz w:val="32"/>
          <w:szCs w:val="32"/>
        </w:rPr>
        <w:t xml:space="preserve">1. Overview</w:t>
      </w:r>
    </w:p>
    <w:p>
      <w:pPr>
        <w:spacing w:after="80" w:before="80"/>
      </w:pPr>
      <w:r>
        <w:rPr>
          <w:rFonts w:ascii="Arial" w:cs="Arial" w:eastAsia="Arial" w:hAnsi="Arial"/>
          <w:sz w:val="22"/>
          <w:szCs w:val="22"/>
        </w:rPr>
        <w:t xml:space="preserve">This code implements the Lebedev finite-difference (FD) scheme for the time-harmonic (frequency-domain) Maxwell equations in 3D, following Davydycheva, Druskin, and Habashy (2003), hereafter DDH03. The solver targets borehole electromagnetic logging simulations: a magnetic dipole source on the borehole axis, surrounded by cylindrical layers and possibly intersected by a dipping planar geological boundary.</w:t>
      </w:r>
    </w:p>
    <w:p>
      <w:pPr>
        <w:spacing w:after="60" w:before="60"/>
      </w:pPr>
    </w:p>
    <w:p>
      <w:pPr>
        <w:spacing w:after="80" w:before="80"/>
      </w:pPr>
      <w:r>
        <w:rPr>
          <w:rFonts w:ascii="Arial" w:cs="Arial" w:eastAsia="Arial" w:hAnsi="Arial"/>
          <w:sz w:val="22"/>
          <w:szCs w:val="22"/>
        </w:rPr>
        <w:t xml:space="preserve">The Lebedev scheme partitions the grid into two interleaved subgrids (P-nodes and R-nodes, based on the parity of the index sum i+j+k). Electric-field components live at R-nodes, magnetic-field components at P-nodes. Four staggered "clusters" (C000, C101, C110, C011) tile the field components across these subgrids, generalizing the Yee grid to handle fully anisotropic conductivity tensors without unphysical cross-coupling.</w:t>
      </w:r>
    </w:p>
    <w:p>
      <w:pPr>
        <w:spacing w:after="60" w:before="60"/>
      </w:pPr>
    </w:p>
    <w:p>
      <w:pPr>
        <w:spacing w:after="80" w:before="80"/>
      </w:pPr>
      <w:r>
        <w:rPr>
          <w:rFonts w:ascii="Arial" w:cs="Arial" w:eastAsia="Arial" w:hAnsi="Arial"/>
          <w:sz w:val="22"/>
          <w:szCs w:val="22"/>
        </w:rPr>
        <w:t xml:space="preserve">Code modules:</w:t>
      </w:r>
    </w:p>
    <w:p>
      <w:pPr>
        <w:pStyle w:val="ListParagraph"/>
        <w:numPr>
          <w:ilvl w:val="0"/>
          <w:numId w:val="2"/>
        </w:numPr>
        <w:spacing w:after="40" w:before="40"/>
      </w:pPr>
      <w:r>
        <w:rPr>
          <w:rFonts w:ascii="Arial" w:cs="Arial" w:eastAsia="Arial" w:hAnsi="Arial"/>
          <w:sz w:val="22"/>
          <w:szCs w:val="22"/>
        </w:rPr>
        <w:t xml:space="preserve">grid.py — Grid construction (LebedevGrid3D, optimal geometric grids, hybrid axial grids)</w:t>
      </w:r>
    </w:p>
    <w:p>
      <w:pPr>
        <w:pStyle w:val="ListParagraph"/>
        <w:numPr>
          <w:ilvl w:val="0"/>
          <w:numId w:val="2"/>
        </w:numPr>
        <w:spacing w:after="40" w:before="40"/>
      </w:pPr>
      <w:r>
        <w:rPr>
          <w:rFonts w:ascii="Arial" w:cs="Arial" w:eastAsia="Arial" w:hAnsi="Arial"/>
          <w:sz w:val="22"/>
          <w:szCs w:val="22"/>
        </w:rPr>
        <w:t xml:space="preserve">media.py — Conductivity assignment and interface averaging (EMMedia, nodal homogenization)</w:t>
      </w:r>
    </w:p>
    <w:p>
      <w:pPr>
        <w:pStyle w:val="ListParagraph"/>
        <w:numPr>
          <w:ilvl w:val="0"/>
          <w:numId w:val="2"/>
        </w:numPr>
        <w:spacing w:after="40" w:before="40"/>
      </w:pPr>
      <w:r>
        <w:rPr>
          <w:rFonts w:ascii="Arial" w:cs="Arial" w:eastAsia="Arial" w:hAnsi="Arial"/>
          <w:sz w:val="22"/>
          <w:szCs w:val="22"/>
        </w:rPr>
        <w:t xml:space="preserve">operators.py — FD curl operators and boundary condition application</w:t>
      </w:r>
    </w:p>
    <w:p>
      <w:pPr>
        <w:pStyle w:val="ListParagraph"/>
        <w:numPr>
          <w:ilvl w:val="0"/>
          <w:numId w:val="2"/>
        </w:numPr>
        <w:spacing w:after="40" w:before="40"/>
      </w:pPr>
      <w:r>
        <w:rPr>
          <w:rFonts w:ascii="Arial" w:cs="Arial" w:eastAsia="Arial" w:hAnsi="Arial"/>
          <w:sz w:val="22"/>
          <w:szCs w:val="22"/>
        </w:rPr>
        <w:t xml:space="preserve">solver.py — System assembly and linear solve</w:t>
      </w:r>
    </w:p>
    <w:p>
      <w:pPr>
        <w:pStyle w:val="ListParagraph"/>
        <w:numPr>
          <w:ilvl w:val="0"/>
          <w:numId w:val="2"/>
        </w:numPr>
        <w:spacing w:after="40" w:before="40"/>
      </w:pPr>
      <w:r>
        <w:rPr>
          <w:rFonts w:ascii="Arial" w:cs="Arial" w:eastAsia="Arial" w:hAnsi="Arial"/>
          <w:sz w:val="22"/>
          <w:szCs w:val="22"/>
        </w:rPr>
        <w:t xml:space="preserve">postprocess.py — B-field extraction, multi-cluster averaging, axis sampling</w:t>
      </w:r>
    </w:p>
    <w:p>
      <w:pPr>
        <w:spacing w:after="60" w:before="60"/>
      </w:pPr>
    </w:p>
    <w:p>
      <w:pPr>
        <w:pStyle w:val="Heading1"/>
        <w:spacing w:after="120" w:before="280"/>
      </w:pPr>
      <w:r>
        <w:rPr>
          <w:rFonts w:ascii="Arial" w:cs="Arial" w:eastAsia="Arial" w:hAnsi="Arial"/>
          <w:b/>
          <w:bCs/>
          <w:color w:val="1F4E79"/>
          <w:sz w:val="32"/>
          <w:szCs w:val="32"/>
        </w:rPr>
        <w:t xml:space="preserve">2. Grid</w:t>
      </w:r>
    </w:p>
    <w:p>
      <w:pPr>
        <w:pStyle w:val="Heading2"/>
        <w:spacing w:after="80" w:before="200"/>
      </w:pPr>
      <w:r>
        <w:rPr>
          <w:rFonts w:ascii="Arial" w:cs="Arial" w:eastAsia="Arial" w:hAnsi="Arial"/>
          <w:b/>
          <w:bCs/>
          <w:color w:val="2E75B6"/>
          <w:sz w:val="26"/>
          <w:szCs w:val="26"/>
        </w:rPr>
        <w:t xml:space="preserve">2.1 Transverse grid (x and y)</w:t>
      </w:r>
    </w:p>
    <w:p>
      <w:pPr>
        <w:spacing w:after="80" w:before="80"/>
      </w:pPr>
      <w:r>
        <w:rPr>
          <w:rFonts w:ascii="Arial" w:cs="Arial" w:eastAsia="Arial" w:hAnsi="Arial"/>
          <w:sz w:val="22"/>
          <w:szCs w:val="22"/>
        </w:rPr>
        <w:t xml:space="preserve">Primary node spacings grow geometrically from a minimum step h_min:</w:t>
      </w:r>
    </w:p>
    <w:p>
      <w:pPr>
        <w:spacing w:after="60" w:before="60"/>
        <w:jc w:val="center"/>
      </w:pPr>
      <w:r>
        <w:rPr>
          <w:rFonts w:ascii="Courier New" w:cs="Courier New" w:eastAsia="Courier New" w:hAnsi="Courier New"/>
          <w:sz w:val="20"/>
          <w:szCs w:val="20"/>
        </w:rPr>
        <w:t xml:space="preserve">hᵢ = h_min · α^(i−1),   α = exp(γπ/√k),   γ = 1/√2  (EM optimal)</w:t>
      </w:r>
    </w:p>
    <w:p>
      <w:pPr>
        <w:spacing w:after="80" w:before="80"/>
      </w:pPr>
      <w:r>
        <w:rPr>
          <w:rFonts w:ascii="Arial" w:cs="Arial" w:eastAsia="Arial" w:hAnsi="Arial"/>
          <w:sz w:val="22"/>
          <w:szCs w:val="22"/>
        </w:rPr>
        <w:t xml:space="preserve">Dual nodes are interleaved using spacings ĥ₁ = h_min/(1+√α) and ĥᵢ = hᵢ/√α for i≥2. The full symmetric grid is formed by mirroring the positive half-axis, giving Mx = My = 4k intervals. The optimal-grid theory underlying this construction — including the choice γ = 1/√2 for EM diffusion — originates with Druskin and Knizhnerman (1999).</w:t>
      </w:r>
    </w:p>
    <w:p>
      <w:pPr>
        <w:spacing w:after="60"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920"/>
      </w:tblGrid>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Typical value</w:t>
            </w:r>
          </w:p>
        </w:tc>
        <w:tc>
          <w:tcPr>
            <w:tcW w:type="dxa" w:w="59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h_min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0.10–0.17 m</w:t>
            </w:r>
          </w:p>
        </w:tc>
        <w:tc>
          <w:tcPr>
            <w:tcW w:type="dxa" w:w="5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primary spacing (inner resolution)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5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steps per half-axis; Mx = 4k. Controls both resolution and domain size.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 m</w:t>
            </w:r>
          </w:p>
        </w:tc>
        <w:tc>
          <w:tcPr>
            <w:tcW w:type="dxa" w:w="5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Target domain half-length (k is auto-chosen to reach L if not specified)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γ (gamma)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5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Progression exponent; 1/√2 is EM-optimal per DDH03</w:t>
            </w:r>
          </w:p>
        </w:tc>
      </w:tr>
    </w:tbl>
    <w:p>
      <w:pPr>
        <w:spacing w:after="60" w:before="60"/>
      </w:pPr>
    </w:p>
    <w:p>
      <w:pPr>
        <w:spacing w:after="80" w:before="80"/>
      </w:pPr>
      <w:r>
        <w:rPr>
          <w:rFonts w:ascii="Arial" w:cs="Arial" w:eastAsia="Arial" w:hAnsi="Arial"/>
          <w:sz w:val="22"/>
          <w:szCs w:val="22"/>
        </w:rPr>
        <w:t xml:space="preserve">Maximum transverse extent: x_max = h_min · α^(k−1). With h_min = 0.10 m: k=3 gives x_max ≈ 1.3 m, k=4 ≈ 2.8 m, k=5 ≈ 5.3 m, k=6 ≈ 9.3 m. A minimum of roughly 0.7 skin depths of transverse coverage is needed for accurate results.</w:t>
      </w:r>
    </w:p>
    <w:p>
      <w:pPr>
        <w:spacing w:after="60" w:before="60"/>
      </w:pPr>
    </w:p>
    <w:p>
      <w:pPr>
        <w:spacing w:after="80" w:before="80"/>
      </w:pPr>
      <w:r>
        <w:rPr>
          <w:rFonts w:ascii="Arial" w:cs="Arial" w:eastAsia="Arial" w:hAnsi="Arial"/>
          <w:b/>
          <w:bCs/>
          <w:sz w:val="22"/>
          <w:szCs w:val="22"/>
        </w:rPr>
        <w:t xml:space="preserve">Grid alignment: </w:t>
      </w:r>
      <w:r>
        <w:rPr>
          <w:rFonts w:ascii="Arial" w:cs="Arial" w:eastAsia="Arial" w:hAnsi="Arial"/>
          <w:sz w:val="22"/>
          <w:szCs w:val="22"/>
        </w:rPr>
        <w:t xml:space="preserve">If h_min is chosen as R_interface/α (the "magic" h_min), the interface lands exactly on a primary node, eliminating interface averaging at that boundary. For all other h_min values, nodal homogenization (Section 4) handles the straddling cells.</w:t>
      </w:r>
    </w:p>
    <w:p>
      <w:pPr>
        <w:spacing w:after="60" w:before="60"/>
      </w:pPr>
    </w:p>
    <w:p>
      <w:pPr>
        <w:pStyle w:val="Heading2"/>
        <w:spacing w:after="80" w:before="200"/>
      </w:pPr>
      <w:r>
        <w:rPr>
          <w:rFonts w:ascii="Arial" w:cs="Arial" w:eastAsia="Arial" w:hAnsi="Arial"/>
          <w:b/>
          <w:bCs/>
          <w:color w:val="2E75B6"/>
          <w:sz w:val="26"/>
          <w:szCs w:val="26"/>
        </w:rPr>
        <w:t xml:space="preserve">2.2 Axial grid (z)</w:t>
      </w:r>
    </w:p>
    <w:p>
      <w:pPr>
        <w:spacing w:after="80" w:before="80"/>
      </w:pPr>
      <w:r>
        <w:rPr>
          <w:rFonts w:ascii="Arial" w:cs="Arial" w:eastAsia="Arial" w:hAnsi="Arial"/>
          <w:sz w:val="22"/>
          <w:szCs w:val="22"/>
        </w:rPr>
        <w:t xml:space="preserve">A hybrid grid: an equidistant inner zone [z_tool_min, z_tool_max] resolves the tool uniformly; outside this range an optimal geometric expansion pushes the computational boundary far away without excessive nodes.</w:t>
      </w:r>
    </w:p>
    <w:p>
      <w:pPr>
        <w:spacing w:after="60"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920"/>
      </w:tblGrid>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Typical value</w:t>
            </w:r>
          </w:p>
        </w:tc>
        <w:tc>
          <w:tcPr>
            <w:tcW w:type="dxa" w:w="59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z_tool_min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m</w:t>
            </w:r>
          </w:p>
        </w:tc>
        <w:tc>
          <w:tcPr>
            <w:tcW w:type="dxa" w:w="5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 boundary of equidistant inner zone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z_tool_max</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m</w:t>
            </w:r>
          </w:p>
        </w:tc>
        <w:tc>
          <w:tcPr>
            <w:tcW w:type="dxa" w:w="5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Upper boundary of equidistant inner zone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n_inner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98</w:t>
            </w:r>
          </w:p>
        </w:tc>
        <w:tc>
          <w:tcPr>
            <w:tcW w:type="dxa" w:w="5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equidistant steps in the inner zone (must be even)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k_outer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5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Optimal-geometric steps on each outer side</w:t>
            </w:r>
          </w:p>
        </w:tc>
      </w:tr>
    </w:tbl>
    <w:p>
      <w:pPr>
        <w:spacing w:after="60" w:before="60"/>
      </w:pPr>
    </w:p>
    <w:p>
      <w:pPr>
        <w:spacing w:after="80" w:before="80"/>
      </w:pPr>
      <w:r>
        <w:rPr>
          <w:rFonts w:ascii="Arial" w:cs="Arial" w:eastAsia="Arial" w:hAnsi="Arial"/>
          <w:sz w:val="22"/>
          <w:szCs w:val="22"/>
        </w:rPr>
        <w:t xml:space="preserve">Total z-nodes: 4·k_outer + n_inner + 1. With the values above, Mz = 130.</w:t>
      </w:r>
    </w:p>
    <w:p>
      <w:pPr>
        <w:spacing w:after="60" w:before="60"/>
      </w:pPr>
    </w:p>
    <w:p>
      <w:pPr>
        <w:pStyle w:val="Heading1"/>
        <w:spacing w:after="120" w:before="280"/>
      </w:pPr>
      <w:r>
        <w:rPr>
          <w:rFonts w:ascii="Arial" w:cs="Arial" w:eastAsia="Arial" w:hAnsi="Arial"/>
          <w:b/>
          <w:bCs/>
          <w:color w:val="1F4E79"/>
          <w:sz w:val="32"/>
          <w:szCs w:val="32"/>
        </w:rPr>
        <w:t xml:space="preserve">3. Conductivity Model</w:t>
      </w:r>
    </w:p>
    <w:p>
      <w:pPr>
        <w:pStyle w:val="Heading2"/>
        <w:spacing w:after="80" w:before="200"/>
      </w:pPr>
      <w:r>
        <w:rPr>
          <w:rFonts w:ascii="Arial" w:cs="Arial" w:eastAsia="Arial" w:hAnsi="Arial"/>
          <w:b/>
          <w:bCs/>
          <w:color w:val="2E75B6"/>
          <w:sz w:val="26"/>
          <w:szCs w:val="26"/>
        </w:rPr>
        <w:t xml:space="preserve">3.1 Supported geometry</w:t>
      </w:r>
    </w:p>
    <w:p>
      <w:pPr>
        <w:spacing w:after="80" w:before="80"/>
      </w:pPr>
      <w:r>
        <w:rPr>
          <w:rFonts w:ascii="Arial" w:cs="Arial" w:eastAsia="Arial" w:hAnsi="Arial"/>
          <w:sz w:val="22"/>
          <w:szCs w:val="22"/>
        </w:rPr>
        <w:t xml:space="preserve">The code supports a borehole logging geometry with three nested regions:</w:t>
      </w:r>
    </w:p>
    <w:p>
      <w:pPr>
        <w:spacing w:after="60" w:before="60"/>
      </w:pPr>
    </w:p>
    <w:p>
      <w:pPr>
        <w:pStyle w:val="ListParagraph"/>
        <w:numPr>
          <w:ilvl w:val="0"/>
          <w:numId w:val="2"/>
        </w:numPr>
        <w:spacing w:after="40" w:before="40"/>
      </w:pPr>
      <w:r>
        <w:rPr>
          <w:rFonts w:ascii="Arial" w:cs="Arial" w:eastAsia="Arial" w:hAnsi="Arial"/>
          <w:b/>
          <w:bCs/>
          <w:sz w:val="22"/>
          <w:szCs w:val="22"/>
        </w:rPr>
        <w:t xml:space="preserve">Cylindrical borehole</w:t>
      </w:r>
      <w:r>
        <w:rPr>
          <w:rFonts w:ascii="Arial" w:cs="Arial" w:eastAsia="Arial" w:hAnsi="Arial"/>
          <w:sz w:val="22"/>
          <w:szCs w:val="22"/>
        </w:rPr>
        <w:t xml:space="preserve">: radius R_BORE, isotropic conductivity σ_BORE. Occupies r &lt; R_BORE.</w:t>
      </w:r>
    </w:p>
    <w:p>
      <w:pPr>
        <w:pStyle w:val="ListParagraph"/>
        <w:numPr>
          <w:ilvl w:val="0"/>
          <w:numId w:val="2"/>
        </w:numPr>
        <w:spacing w:after="40" w:before="40"/>
      </w:pPr>
      <w:r>
        <w:rPr>
          <w:rFonts w:ascii="Arial" w:cs="Arial" w:eastAsia="Arial" w:hAnsi="Arial"/>
          <w:b/>
          <w:bCs/>
          <w:sz w:val="22"/>
          <w:szCs w:val="22"/>
        </w:rPr>
        <w:t xml:space="preserve">Cylindrical invasion zone</w:t>
      </w:r>
      <w:r>
        <w:rPr>
          <w:rFonts w:ascii="Arial" w:cs="Arial" w:eastAsia="Arial" w:hAnsi="Arial"/>
          <w:sz w:val="22"/>
          <w:szCs w:val="22"/>
        </w:rPr>
        <w:t xml:space="preserve">: outer radius R_INV, isotropic σ_INV. Occupies R_BORE &lt; r &lt; R_INV.</w:t>
      </w:r>
    </w:p>
    <w:p>
      <w:pPr>
        <w:pStyle w:val="ListParagraph"/>
        <w:numPr>
          <w:ilvl w:val="0"/>
          <w:numId w:val="2"/>
        </w:numPr>
        <w:spacing w:after="40" w:before="40"/>
      </w:pPr>
      <w:r>
        <w:rPr>
          <w:rFonts w:ascii="Arial" w:cs="Arial" w:eastAsia="Arial" w:hAnsi="Arial"/>
          <w:b/>
          <w:bCs/>
          <w:sz w:val="22"/>
          <w:szCs w:val="22"/>
        </w:rPr>
        <w:t xml:space="preserve">Formation</w:t>
      </w:r>
      <w:r>
        <w:rPr>
          <w:rFonts w:ascii="Arial" w:cs="Arial" w:eastAsia="Arial" w:hAnsi="Arial"/>
          <w:sz w:val="22"/>
          <w:szCs w:val="22"/>
        </w:rPr>
        <w:t xml:space="preserve">: r &gt; R_INV. May be divided into two half-spaces by a dipping planar boundary (normal N_HAT, offset D_PLANE). Each half-space can be independently isotropic or anisotropic.</w:t>
      </w:r>
    </w:p>
    <w:p>
      <w:pPr>
        <w:spacing w:after="60" w:before="60"/>
      </w:pPr>
    </w:p>
    <w:p>
      <w:pPr>
        <w:spacing w:after="80" w:before="80"/>
      </w:pPr>
      <w:r>
        <w:rPr>
          <w:rFonts w:ascii="Arial" w:cs="Arial" w:eastAsia="Arial" w:hAnsi="Arial"/>
          <w:sz w:val="22"/>
          <w:szCs w:val="22"/>
        </w:rPr>
        <w:t xml:space="preserve">The plane is N_HAT·x = D_PLANE. N_HAT = (sinθ, 0, cosθ) for a boundary dipping at angle θ from the borehole axis. D_PLANE sets the depth at which the plane crosses the axis.</w:t>
      </w:r>
    </w:p>
    <w:p>
      <w:pPr>
        <w:spacing w:after="60" w:before="60"/>
      </w:pPr>
    </w:p>
    <w:p>
      <w:pPr>
        <w:pStyle w:val="Heading2"/>
        <w:spacing w:after="80" w:before="200"/>
      </w:pPr>
      <w:r>
        <w:rPr>
          <w:rFonts w:ascii="Arial" w:cs="Arial" w:eastAsia="Arial" w:hAnsi="Arial"/>
          <w:b/>
          <w:bCs/>
          <w:color w:val="2E75B6"/>
          <w:sz w:val="26"/>
          <w:szCs w:val="26"/>
        </w:rPr>
        <w:t xml:space="preserve">3.2 Conductivity parameters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220"/>
      </w:tblGrid>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Units</w:t>
            </w:r>
          </w:p>
        </w:tc>
        <w:tc>
          <w:tcPr>
            <w:tcW w:type="dxa" w:w="62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SIGMA_BORE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w:t>
            </w:r>
          </w:p>
        </w:tc>
        <w:tc>
          <w:tcPr>
            <w:tcW w:type="dxa" w:w="6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Borehole fluid conductivity (isotropic)</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SIGMA_INV</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w:t>
            </w:r>
          </w:p>
        </w:tc>
        <w:tc>
          <w:tcPr>
            <w:tcW w:type="dxa" w:w="6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Invasion zone conductivity (isotropic)</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SIGMA_ISO</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w:t>
            </w:r>
          </w:p>
        </w:tc>
        <w:tc>
          <w:tcPr>
            <w:tcW w:type="dxa" w:w="6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Isotropic formation conductivity (one side of dipping plane)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SIGMA_T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w:t>
            </w:r>
          </w:p>
        </w:tc>
        <w:tc>
          <w:tcPr>
            <w:tcW w:type="dxa" w:w="6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Transverse conductivity of anisotropic formation (perpendicular to N_HAT)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SIGMA_N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w:t>
            </w:r>
          </w:p>
        </w:tc>
        <w:tc>
          <w:tcPr>
            <w:tcW w:type="dxa" w:w="6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 conductivity of anisotropic formation (along N_HAT)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R_BORE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w:t>
            </w:r>
          </w:p>
        </w:tc>
        <w:tc>
          <w:tcPr>
            <w:tcW w:type="dxa" w:w="6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Borehole radius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R_INV</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w:t>
            </w:r>
          </w:p>
        </w:tc>
        <w:tc>
          <w:tcPr>
            <w:tcW w:type="dxa" w:w="6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Outer radius of invasion zone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DIP_RAD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rad</w:t>
            </w:r>
          </w:p>
        </w:tc>
        <w:tc>
          <w:tcPr>
            <w:tcW w:type="dxa" w:w="6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Dip angle of formation boundary from the borehole axis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D_PLANE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w:t>
            </w:r>
          </w:p>
        </w:tc>
        <w:tc>
          <w:tcPr>
            <w:tcW w:type="dxa" w:w="62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Signed offset of dipping plane along N_HAT from origin</w:t>
            </w:r>
          </w:p>
        </w:tc>
      </w:tr>
    </w:tbl>
    <w:p>
      <w:pPr>
        <w:spacing w:after="60" w:before="60"/>
      </w:pPr>
    </w:p>
    <w:p>
      <w:pPr>
        <w:spacing w:after="80" w:before="80"/>
      </w:pPr>
      <w:r>
        <w:rPr>
          <w:rFonts w:ascii="Arial" w:cs="Arial" w:eastAsia="Arial" w:hAnsi="Arial"/>
          <w:sz w:val="22"/>
          <w:szCs w:val="22"/>
        </w:rPr>
        <w:t xml:space="preserve">The anisotropic formation tensor is the standard transverse isotropic (TI) form:</w:t>
      </w:r>
    </w:p>
    <w:p>
      <w:pPr>
        <w:spacing w:after="40" w:before="40"/>
        <w:ind w:left="720"/>
      </w:pPr>
      <w:r>
        <w:rPr>
          <w:rFonts w:ascii="Courier New" w:cs="Courier New" w:eastAsia="Courier New" w:hAnsi="Courier New"/>
          <w:color w:val="1A1A1A"/>
          <w:sz w:val="20"/>
          <w:szCs w:val="20"/>
        </w:rPr>
        <w:t xml:space="preserve">σ_ANISO = σ_T · I + (σ_N − σ_T) · N_HAT ⊗ N_HAT</w:t>
      </w:r>
    </w:p>
    <w:p>
      <w:pPr>
        <w:spacing w:after="80" w:before="80"/>
      </w:pPr>
      <w:r>
        <w:rPr>
          <w:rFonts w:ascii="Arial" w:cs="Arial" w:eastAsia="Arial" w:hAnsi="Arial"/>
          <w:sz w:val="22"/>
          <w:szCs w:val="22"/>
        </w:rPr>
        <w:t xml:space="preserve">Conductivity along N_HAT is σ_N; transverse to it is σ_T. Setting σ_N = σ_T gives an isotropic medium.</w:t>
      </w:r>
    </w:p>
    <w:p>
      <w:pPr>
        <w:spacing w:after="60" w:before="60"/>
      </w:pPr>
    </w:p>
    <w:p>
      <w:pPr>
        <w:pStyle w:val="Heading1"/>
        <w:spacing w:after="120" w:before="280"/>
      </w:pPr>
      <w:r>
        <w:rPr>
          <w:rFonts w:ascii="Arial" w:cs="Arial" w:eastAsia="Arial" w:hAnsi="Arial"/>
          <w:b/>
          <w:bCs/>
          <w:color w:val="1F4E79"/>
          <w:sz w:val="32"/>
          <w:szCs w:val="32"/>
        </w:rPr>
        <w:t xml:space="preserve">4. Interface Averaging</w:t>
      </w:r>
    </w:p>
    <w:p>
      <w:pPr>
        <w:spacing w:after="80" w:before="80"/>
      </w:pPr>
      <w:r>
        <w:rPr>
          <w:rFonts w:ascii="Arial" w:cs="Arial" w:eastAsia="Arial" w:hAnsi="Arial"/>
          <w:sz w:val="22"/>
          <w:szCs w:val="22"/>
        </w:rPr>
        <w:t xml:space="preserve">Because the Lebedev grid is coarsely spaced, physical interfaces will generally not coincide with grid nodes. The conductivity assigned to a node whose dual cell straddles an interface directly affects accuracy. Two levels of treatment are used depending on how many interfaces a cell straddles.</w:t>
      </w:r>
    </w:p>
    <w:p>
      <w:pPr>
        <w:spacing w:after="60" w:before="60"/>
      </w:pPr>
    </w:p>
    <w:p>
      <w:pPr>
        <w:pStyle w:val="Heading2"/>
        <w:spacing w:after="80" w:before="200"/>
      </w:pPr>
      <w:r>
        <w:rPr>
          <w:rFonts w:ascii="Arial" w:cs="Arial" w:eastAsia="Arial" w:hAnsi="Arial"/>
          <w:b/>
          <w:bCs/>
          <w:color w:val="2E75B6"/>
          <w:sz w:val="26"/>
          <w:szCs w:val="26"/>
        </w:rPr>
        <w:t xml:space="preserve">4.1 Nodal homogenization for single-interface cells</w:t>
      </w:r>
    </w:p>
    <w:p>
      <w:pPr>
        <w:spacing w:after="80" w:before="80"/>
      </w:pPr>
      <w:r>
        <w:rPr>
          <w:rFonts w:ascii="Arial" w:cs="Arial" w:eastAsia="Arial" w:hAnsi="Arial"/>
          <w:sz w:val="22"/>
          <w:szCs w:val="22"/>
        </w:rPr>
        <w:t xml:space="preserve">For any node whose dual cell crosses exactly one interface, the nodal homogenization formula of Moskow et al. (1999) is applied. This computes an effective conductivity tensor by matching the continuous and discrete electromagnetic energy inner products over the dual cell.</w:t>
      </w:r>
    </w:p>
    <w:p>
      <w:pPr>
        <w:spacing w:after="60" w:before="60"/>
      </w:pPr>
    </w:p>
    <w:p>
      <w:pPr>
        <w:spacing w:after="80" w:before="80"/>
      </w:pPr>
      <w:r>
        <w:rPr>
          <w:rFonts w:ascii="Arial" w:cs="Arial" w:eastAsia="Arial" w:hAnsi="Arial"/>
          <w:sz w:val="22"/>
          <w:szCs w:val="22"/>
        </w:rPr>
        <w:t xml:space="preserve">Procedure for an interface with unit normal n_hat between media σ₁ and σ₂:</w:t>
      </w:r>
    </w:p>
    <w:p>
      <w:pPr>
        <w:pStyle w:val="ListParagraph"/>
        <w:numPr>
          <w:ilvl w:val="0"/>
          <w:numId w:val="2"/>
        </w:numPr>
        <w:spacing w:after="40" w:before="40"/>
      </w:pPr>
      <w:r>
        <w:rPr>
          <w:rFonts w:ascii="Arial" w:cs="Arial" w:eastAsia="Arial" w:hAnsi="Arial"/>
          <w:sz w:val="22"/>
          <w:szCs w:val="22"/>
        </w:rPr>
        <w:t xml:space="preserve">Compute volume fraction f_vol of medium 1 in the dual cell (analytic integration over cell half-widths).</w:t>
      </w:r>
    </w:p>
    <w:p>
      <w:pPr>
        <w:pStyle w:val="ListParagraph"/>
        <w:numPr>
          <w:ilvl w:val="0"/>
          <w:numId w:val="2"/>
        </w:numPr>
        <w:spacing w:after="40" w:before="40"/>
      </w:pPr>
      <w:r>
        <w:rPr>
          <w:rFonts w:ascii="Arial" w:cs="Arial" w:eastAsia="Arial" w:hAnsi="Arial"/>
          <w:sz w:val="22"/>
          <w:szCs w:val="22"/>
        </w:rPr>
        <w:t xml:space="preserve">Compute per-axis line fractions f_line[α]: fraction of the grid edge in each direction passing through medium 1.</w:t>
      </w:r>
    </w:p>
    <w:p>
      <w:pPr>
        <w:pStyle w:val="ListParagraph"/>
        <w:numPr>
          <w:ilvl w:val="0"/>
          <w:numId w:val="2"/>
        </w:numPr>
        <w:spacing w:after="40" w:before="40"/>
      </w:pPr>
      <w:r>
        <w:rPr>
          <w:rFonts w:ascii="Arial" w:cs="Arial" w:eastAsia="Arial" w:hAnsi="Arial"/>
          <w:sz w:val="22"/>
          <w:szCs w:val="22"/>
        </w:rPr>
        <w:t xml:space="preserve">Build the modified basis L̃ = [m̂ − ρ_m⊙n̂ | q̂ − ρ_q⊙n̂ | D₁⊙n̂], where m̂, q̂ are tangentials to n̂, ρ encodes off-diagonal coupling for anisotropic media, and D₁ encodes per-axis line-average resistivity.</w:t>
      </w:r>
    </w:p>
    <w:p>
      <w:pPr>
        <w:pStyle w:val="ListParagraph"/>
        <w:numPr>
          <w:ilvl w:val="0"/>
          <w:numId w:val="2"/>
        </w:numPr>
        <w:spacing w:after="40" w:before="40"/>
      </w:pPr>
      <w:r>
        <w:rPr>
          <w:rFonts w:ascii="Arial" w:cs="Arial" w:eastAsia="Arial" w:hAnsi="Arial"/>
          <w:sz w:val="22"/>
          <w:szCs w:val="22"/>
        </w:rPr>
        <w:t xml:space="preserve">Assemble energy matrix G from Schur complements of σ₁ and σ₂.</w:t>
      </w:r>
    </w:p>
    <w:p>
      <w:pPr>
        <w:pStyle w:val="ListParagraph"/>
        <w:numPr>
          <w:ilvl w:val="0"/>
          <w:numId w:val="2"/>
        </w:numPr>
        <w:spacing w:after="40" w:before="40"/>
      </w:pPr>
      <w:r>
        <w:rPr>
          <w:rFonts w:ascii="Arial" w:cs="Arial" w:eastAsia="Arial" w:hAnsi="Arial"/>
          <w:sz w:val="22"/>
          <w:szCs w:val="22"/>
        </w:rPr>
        <w:t xml:space="preserve">Solve Σ_D = L̃⁻ᵀ G L̃⁻¹ for the effective nodal tensor.</w:t>
      </w:r>
    </w:p>
    <w:p>
      <w:pPr>
        <w:spacing w:after="60" w:before="60"/>
      </w:pPr>
    </w:p>
    <w:p>
      <w:pPr>
        <w:spacing w:after="80" w:before="80"/>
      </w:pPr>
      <w:r>
        <w:rPr>
          <w:rFonts w:ascii="Arial" w:cs="Arial" w:eastAsia="Arial" w:hAnsi="Arial"/>
          <w:sz w:val="22"/>
          <w:szCs w:val="22"/>
        </w:rPr>
        <w:t xml:space="preserve">For axis-aligned interfaces this reduces to the classical result: tangential components take the arithmetic mean σ̅ = f₁σ₁ + f₂σ₂, and the normal component takes the harmonic mean σ̃ = 1/(f₁/σ₁ + f₂/σ₂). Tilted or anisotropic interfaces require the full tensor formula and introduce off-diagonal entries.</w:t>
      </w:r>
    </w:p>
    <w:p>
      <w:pPr>
        <w:spacing w:after="60" w:before="60"/>
      </w:pPr>
    </w:p>
    <w:p>
      <w:pPr>
        <w:spacing w:after="80" w:before="80"/>
      </w:pPr>
      <w:r>
        <w:rPr>
          <w:rFonts w:ascii="Arial" w:cs="Arial" w:eastAsia="Arial" w:hAnsi="Arial"/>
          <w:sz w:val="22"/>
          <w:szCs w:val="22"/>
        </w:rPr>
        <w:t xml:space="preserve">This nodal homogenization is applied at every single-straddling cell: at the borehole wall (radial normal n_hat_r), at the invasion boundary (radial normal n_hat_r), and at the dipping formation plane (constant normal N_HAT).</w:t>
      </w:r>
    </w:p>
    <w:p>
      <w:pPr>
        <w:spacing w:after="80" w:before="80"/>
      </w:pPr>
      <w:r>
        <w:rPr>
          <w:rFonts w:ascii="Arial" w:cs="Arial" w:eastAsia="Arial" w:hAnsi="Arial"/>
          <w:sz w:val="22"/>
          <w:szCs w:val="22"/>
        </w:rPr>
        <w:t xml:space="preserve">Two computational paths are supported depending on how the interface geometry is provided.</w:t>
      </w:r>
    </w:p>
    <w:p>
      <w:pPr>
        <w:spacing w:after="80" w:before="80"/>
      </w:pPr>
      <w:r>
        <w:rPr>
          <w:rFonts w:ascii="Arial" w:cs="Arial" w:eastAsia="Arial" w:hAnsi="Arial"/>
          <w:b/>
          <w:bCs/>
          <w:sz w:val="22"/>
          <w:szCs w:val="22"/>
        </w:rPr>
        <w:t xml:space="preserve">Exact geometry path (from_geometry_func).</w:t>
      </w:r>
      <w:r>
        <w:rPr>
          <w:rFonts w:ascii="Arial" w:cs="Arial" w:eastAsia="Arial" w:hAnsi="Arial"/>
          <w:sz w:val="22"/>
          <w:szCs w:val="22"/>
        </w:rPr>
        <w:t xml:space="preserve"> When the interface is described by an explicit geometric object (cylinder, plane, level set), n_hat is available analytically at each node. Volume and line fractions are computed by exact integration and the nodal formula is applied directly. This path is used for the borehole wall, invasion boundary, and dipping-plane interfaces in the DDH03 example.</w:t>
      </w:r>
    </w:p>
    <w:p>
      <w:pPr>
        <w:spacing w:after="80" w:before="80"/>
      </w:pPr>
      <w:r>
        <w:rPr>
          <w:rFonts w:ascii="Arial" w:cs="Arial" w:eastAsia="Arial" w:hAnsi="Arial"/>
          <w:b/>
          <w:bCs/>
          <w:sz w:val="22"/>
          <w:szCs w:val="22"/>
        </w:rPr>
        <w:t xml:space="preserve">Lookup-function path (from_sigma_func).</w:t>
      </w:r>
      <w:r>
        <w:rPr>
          <w:rFonts w:ascii="Arial" w:cs="Arial" w:eastAsia="Arial" w:hAnsi="Arial"/>
          <w:sz w:val="22"/>
          <w:szCs w:val="22"/>
        </w:rPr>
        <w:t xml:space="preserve"> When conductivity is given only as a black-box callable, n_hat is estimated from the local variation of σ within the dual cell. The code evaluates σ on a fine isotropic sub-grid, binarises the values, and identifies voxel pairs that straddle the interface. A plane is fitted through the physical midpoints of those crossing pairs by SVD; the last right singular vector (minimum-variance direction) gives n_hat. A planarity ratio r = s₃/s₁ measures confidence: if r ≥ 0.7 the block has no clear interface direction and falls back to axis-aligned harmonic/arithmetic averaging. For tensor-valued callables the SVD operates on tr(σ)/3 as a scalar proxy; the full tensor is used for the homogenization integrals once n_hat is established.</w:t>
      </w:r>
    </w:p>
    <w:p>
      <w:pPr>
        <w:spacing w:after="60" w:before="60"/>
      </w:pPr>
    </w:p>
    <w:p>
      <w:pPr>
        <w:pStyle w:val="Heading2"/>
        <w:spacing w:after="80" w:before="200"/>
      </w:pPr>
      <w:r>
        <w:rPr>
          <w:rFonts w:ascii="Arial" w:cs="Arial" w:eastAsia="Arial" w:hAnsi="Arial"/>
          <w:b/>
          <w:bCs/>
          <w:color w:val="2E75B6"/>
          <w:sz w:val="26"/>
          <w:szCs w:val="26"/>
        </w:rPr>
        <w:t xml:space="preserve">4.2 Sequential nodal homogenization for doubly-straddled cells</w:t>
      </w:r>
    </w:p>
    <w:p>
      <w:pPr>
        <w:spacing w:after="80" w:before="80"/>
      </w:pPr>
      <w:r>
        <w:rPr>
          <w:rFonts w:ascii="Arial" w:cs="Arial" w:eastAsia="Arial" w:hAnsi="Arial"/>
          <w:sz w:val="22"/>
          <w:szCs w:val="22"/>
        </w:rPr>
        <w:t xml:space="preserve">When the invasion zone boundary (cylindrical, r = R_INV) and the dipping formation plane intersect near a cell, that cell straddles two interfaces simultaneously. Applying the nodal formula for only the cylindrical interface while using the pointwise outer medium is inconsistent, because the outer medium is itself inhomogeneous within the cell.</w:t>
      </w:r>
    </w:p>
    <w:p>
      <w:pPr>
        <w:spacing w:after="60" w:before="60"/>
      </w:pPr>
    </w:p>
    <w:p>
      <w:pPr>
        <w:spacing w:after="80" w:before="80"/>
      </w:pPr>
      <w:r>
        <w:rPr>
          <w:rFonts w:ascii="Arial" w:cs="Arial" w:eastAsia="Arial" w:hAnsi="Arial"/>
          <w:sz w:val="22"/>
          <w:szCs w:val="22"/>
        </w:rPr>
        <w:t xml:space="preserve">Sequential nodal homogenization resolves this with a two-step procedure, applying the nodal formula at each step:</w:t>
      </w:r>
    </w:p>
    <w:p>
      <w:pPr>
        <w:spacing w:after="60" w:before="60"/>
      </w:pPr>
    </w:p>
    <w:p>
      <w:pPr>
        <w:pStyle w:val="ListParagraph"/>
        <w:numPr>
          <w:ilvl w:val="0"/>
          <w:numId w:val="2"/>
        </w:numPr>
        <w:spacing w:after="40" w:before="40"/>
      </w:pPr>
      <w:r>
        <w:rPr>
          <w:rFonts w:ascii="Arial" w:cs="Arial" w:eastAsia="Arial" w:hAnsi="Arial"/>
          <w:b/>
          <w:bCs/>
          <w:sz w:val="22"/>
          <w:szCs w:val="22"/>
        </w:rPr>
        <w:t xml:space="preserve">Step 1 — Outer nodal homogenization:</w:t>
      </w:r>
      <w:r>
        <w:rPr>
          <w:rFonts w:ascii="Arial" w:cs="Arial" w:eastAsia="Arial" w:hAnsi="Arial"/>
          <w:sz w:val="22"/>
          <w:szCs w:val="22"/>
        </w:rPr>
        <w:t xml:space="preserve"> Compute volume fractions f_ani and f_iso of the two outer-formation regions within the cell. Apply the nodal formula (Section 4.1) to these two materials with normal N_HAT, yielding an effective outer-medium tensor Σ_outer = L̃ⁱᵀᵀ¹ G_out L̃ⁱ¹. The inner material is identified as the one with the median conductivity value (tr(σ)/3), so the outer pair is always the lowest and highest conductivity materials in the cell.</w:t>
      </w:r>
    </w:p>
    <w:p>
      <w:pPr>
        <w:spacing w:after="60" w:before="60"/>
      </w:pPr>
    </w:p>
    <w:p>
      <w:pPr>
        <w:pStyle w:val="ListParagraph"/>
        <w:numPr>
          <w:ilvl w:val="0"/>
          <w:numId w:val="2"/>
        </w:numPr>
        <w:spacing w:after="40" w:before="40"/>
      </w:pPr>
      <w:r>
        <w:rPr>
          <w:rFonts w:ascii="Arial" w:cs="Arial" w:eastAsia="Arial" w:hAnsi="Arial"/>
          <w:b/>
          <w:bCs/>
          <w:sz w:val="22"/>
          <w:szCs w:val="22"/>
        </w:rPr>
        <w:t xml:space="preserve">Step 2 — Nodal homogenization:</w:t>
      </w:r>
      <w:r>
        <w:rPr>
          <w:rFonts w:ascii="Arial" w:cs="Arial" w:eastAsia="Arial" w:hAnsi="Arial"/>
          <w:sz w:val="22"/>
          <w:szCs w:val="22"/>
        </w:rPr>
        <w:t xml:space="preserve"> Apply the single-interface formula (Section 4.1) between σ_INV and σ_outer along the cylindrical normal n_hat_r.</w:t>
      </w:r>
    </w:p>
    <w:p>
      <w:pPr>
        <w:spacing w:after="60" w:before="60"/>
      </w:pPr>
    </w:p>
    <w:p>
      <w:pPr>
        <w:spacing w:after="80" w:before="80"/>
      </w:pPr>
      <w:r>
        <w:rPr>
          <w:rFonts w:ascii="Arial" w:cs="Arial" w:eastAsia="Arial" w:hAnsi="Arial"/>
          <w:sz w:val="22"/>
          <w:szCs w:val="22"/>
        </w:rPr>
        <w:t xml:space="preserve">For cells straddling only the cylindrical boundary, only step 2 applies with the pointwise outer medium. For cells straddling only the planar boundary (outside R_INV), only the single-interface nodal formula with N_HAT applies. Sequential nodal homogenization degenerates gracefully to the standard single-interface treatment everywhere except at the small number of doubly-straddled cells near the intersection of the two boundaries. If the intermediate Σ_outer has a maximum eigenvalue exceeding three times the largest material conductivity — a symptom of near-degeneracy — the result is discarded and the cell falls back to the single-interface nodal formula.</w:t>
      </w:r>
    </w:p>
    <w:p>
      <w:pPr>
        <w:spacing w:after="60" w:before="60"/>
      </w:pPr>
    </w:p>
    <w:p>
      <w:pPr>
        <w:pStyle w:val="Heading1"/>
        <w:spacing w:after="120" w:before="280"/>
      </w:pPr>
      <w:r>
        <w:rPr>
          <w:rFonts w:ascii="Arial" w:cs="Arial" w:eastAsia="Arial" w:hAnsi="Arial"/>
          <w:b/>
          <w:bCs/>
          <w:color w:val="1F4E79"/>
          <w:sz w:val="32"/>
          <w:szCs w:val="32"/>
        </w:rPr>
        <w:t xml:space="preserve">5. Boundary Conditions</w:t>
      </w:r>
    </w:p>
    <w:p>
      <w:pPr>
        <w:spacing w:after="80" w:before="80"/>
      </w:pPr>
      <w:r>
        <w:rPr>
          <w:rFonts w:ascii="Arial" w:cs="Arial" w:eastAsia="Arial" w:hAnsi="Arial"/>
          <w:sz w:val="22"/>
          <w:szCs w:val="22"/>
        </w:rPr>
        <w:t xml:space="preserve">All outer faces use the DDH03 "combined" boundary condition (DDH03 eq. 6): clusters whose E-components are tangential to a face satisfy PEC (E×n̂ = 0); clusters whose E-components are normal satisfy PMC. In practice all E-field DOFs at boundary R-nodes are set to zero (Dirichlet). Reflections are negligible when the boundary is at several skin depths from the source.</w:t>
      </w:r>
    </w:p>
    <w:p>
      <w:pPr>
        <w:spacing w:after="60" w:before="60"/>
      </w:pPr>
    </w:p>
    <w:p>
      <w:pPr>
        <w:pStyle w:val="Heading1"/>
        <w:spacing w:after="120" w:before="280"/>
      </w:pPr>
      <w:r>
        <w:rPr>
          <w:rFonts w:ascii="Arial" w:cs="Arial" w:eastAsia="Arial" w:hAnsi="Arial"/>
          <w:b/>
          <w:bCs/>
          <w:color w:val="1F4E79"/>
          <w:sz w:val="32"/>
          <w:szCs w:val="32"/>
        </w:rPr>
        <w:t xml:space="preserve">6. Linear System and Solve</w:t>
      </w:r>
    </w:p>
    <w:p>
      <w:pPr>
        <w:spacing w:after="80" w:before="80"/>
      </w:pPr>
      <w:r>
        <w:rPr>
          <w:rFonts w:ascii="Arial" w:cs="Arial" w:eastAsia="Arial" w:hAnsi="Arial"/>
          <w:sz w:val="22"/>
          <w:szCs w:val="22"/>
        </w:rPr>
        <w:t xml:space="preserve">The solver assembles and solves:</w:t>
      </w:r>
    </w:p>
    <w:p>
      <w:pPr>
        <w:spacing w:after="60" w:before="60"/>
        <w:jc w:val="center"/>
      </w:pPr>
      <w:r>
        <w:rPr>
          <w:rFonts w:ascii="Courier New" w:cs="Courier New" w:eastAsia="Courier New" w:hAnsi="Courier New"/>
          <w:sz w:val="22"/>
          <w:szCs w:val="22"/>
        </w:rPr>
        <w:t xml:space="preserve">(Cᵀ µ⁻¹ C − iω σ̇) E = b</w:t>
      </w:r>
    </w:p>
    <w:p>
      <w:pPr>
        <w:spacing w:after="80" w:before="80"/>
      </w:pPr>
      <w:r>
        <w:rPr>
          <w:rFonts w:ascii="Arial" w:cs="Arial" w:eastAsia="Arial" w:hAnsi="Arial"/>
          <w:sz w:val="22"/>
          <w:szCs w:val="22"/>
        </w:rPr>
        <w:t xml:space="preserve">C is the FD curl operator, σ̇ = σ + iωε is the complex conductivity (ε = ε₀ by default), and b is the magnetic dipole right-hand side. The system has 3·N_R unknowns. The default solver is scipy.sparse.linalg.spsolve (direct sparse LU). For large grids or benchmarking runs, LGMRES (scipy.sparse.linalg.lgmres) with Jacobi preconditioning is used instead, with tolerance 10⁻⁸ and up to 300 iterations.</w:t>
      </w:r>
    </w:p>
    <w:p>
      <w:pPr>
        <w:spacing w:after="60"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1800"/>
        <w:gridCol w:w="3520"/>
      </w:tblGrid>
      <w:tr>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k</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h_min (m)</w:t>
            </w:r>
          </w:p>
        </w:tc>
        <w:tc>
          <w:tcPr>
            <w:tcW w:type="dxa" w:w="1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N_R</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DOFs</w:t>
            </w:r>
          </w:p>
        </w:tc>
        <w:tc>
          <w:tcPr>
            <w:tcW w:type="dxa" w:w="35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Approx. solve time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0.166</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11,069</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33,207</w:t>
            </w:r>
          </w:p>
        </w:tc>
        <w:tc>
          <w:tcPr>
            <w:tcW w:type="dxa" w:w="3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18,085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54,255</w:t>
            </w:r>
          </w:p>
        </w:tc>
        <w:tc>
          <w:tcPr>
            <w:tcW w:type="dxa" w:w="3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28,885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86,655</w:t>
            </w:r>
          </w:p>
        </w:tc>
        <w:tc>
          <w:tcPr>
            <w:tcW w:type="dxa" w:w="3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40,937</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122,811</w:t>
            </w:r>
          </w:p>
        </w:tc>
        <w:tc>
          <w:tcPr>
            <w:tcW w:type="dxa" w:w="3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s</w:t>
            </w:r>
          </w:p>
        </w:tc>
      </w:tr>
    </w:tbl>
    <w:p>
      <w:pPr>
        <w:spacing w:after="60" w:before="60"/>
      </w:pPr>
    </w:p>
    <w:p>
      <w:pPr>
        <w:pStyle w:val="Heading1"/>
        <w:spacing w:after="120" w:before="280"/>
      </w:pPr>
      <w:r>
        <w:rPr>
          <w:rFonts w:ascii="Arial" w:cs="Arial" w:eastAsia="Arial" w:hAnsi="Arial"/>
          <w:b/>
          <w:bCs/>
          <w:color w:val="1F4E79"/>
          <w:sz w:val="32"/>
          <w:szCs w:val="32"/>
        </w:rPr>
        <w:t xml:space="preserve">7. Source and Multi-Cluster Field Extraction</w:t>
      </w:r>
    </w:p>
    <w:p>
      <w:pPr>
        <w:pStyle w:val="Heading2"/>
        <w:spacing w:after="80" w:before="200"/>
      </w:pPr>
      <w:r>
        <w:rPr>
          <w:rFonts w:ascii="Arial" w:cs="Arial" w:eastAsia="Arial" w:hAnsi="Arial"/>
          <w:b/>
          <w:bCs/>
          <w:color w:val="2E75B6"/>
          <w:sz w:val="26"/>
          <w:szCs w:val="26"/>
        </w:rPr>
        <w:t xml:space="preserve">7.1 Multi-cluster source</w:t>
      </w:r>
    </w:p>
    <w:p>
      <w:pPr>
        <w:spacing w:after="80" w:before="80"/>
      </w:pPr>
      <w:r>
        <w:rPr>
          <w:rFonts w:ascii="Arial" w:cs="Arial" w:eastAsia="Arial" w:hAnsi="Arial"/>
          <w:sz w:val="22"/>
          <w:szCs w:val="22"/>
        </w:rPr>
        <w:t xml:space="preserve">The source is a magnetic dipole at the origin. All four Lebedev clusters must be excited coherently: build_rhs_multicl distributes the dipole right-hand side across each cluster’s native sub-grid nodes by trilinear interpolation. The source frequency ω, orientation (e.g., x-directed Hx), and position are all configurable.</w:t>
      </w:r>
    </w:p>
    <w:p>
      <w:pPr>
        <w:spacing w:after="60" w:before="60"/>
      </w:pPr>
    </w:p>
    <w:p>
      <w:pPr>
        <w:pStyle w:val="Heading2"/>
        <w:spacing w:after="80" w:before="200"/>
      </w:pPr>
      <w:r>
        <w:rPr>
          <w:rFonts w:ascii="Arial" w:cs="Arial" w:eastAsia="Arial" w:hAnsi="Arial"/>
          <w:b/>
          <w:bCs/>
          <w:color w:val="2E75B6"/>
          <w:sz w:val="26"/>
          <w:szCs w:val="26"/>
        </w:rPr>
        <w:t xml:space="preserve">7.2 Multi-cluster B-field averaging</w:t>
      </w:r>
    </w:p>
    <w:p>
      <w:pPr>
        <w:spacing w:after="80" w:before="80"/>
      </w:pPr>
      <w:r>
        <w:rPr>
          <w:rFonts w:ascii="Arial" w:cs="Arial" w:eastAsia="Arial" w:hAnsi="Arial"/>
          <w:sz w:val="22"/>
          <w:szCs w:val="22"/>
        </w:rPr>
        <w:t xml:space="preserve">After solving, B is computed from Faraday’s law: B = (1/iω) ∇×E. To extract the physically correct field on the borehole axis, extract_B_on_axis_multicl performs a proper Lebedev inter-cluster average: for each target z, all four clusters contribute via trilinear interpolation from their respective native sub-grids to the target point, and the four values are averaged.</w:t>
      </w:r>
    </w:p>
    <w:p>
      <w:pPr>
        <w:spacing w:after="60" w:before="60"/>
      </w:pPr>
    </w:p>
    <w:p>
      <w:pPr>
        <w:spacing w:after="80" w:before="80"/>
      </w:pPr>
      <w:r>
        <w:rPr>
          <w:rFonts w:ascii="Arial" w:cs="Arial" w:eastAsia="Arial" w:hAnsi="Arial"/>
          <w:sz w:val="22"/>
          <w:szCs w:val="22"/>
        </w:rPr>
        <w:t xml:space="preserve">This inter-cluster averaging is essential. Reading only the on-axis P-nodes without interpolating the other clusters systematically biases the result by whichever sub-grid those nodes happen to belong to.</w:t>
      </w:r>
    </w:p>
    <w:p>
      <w:pPr>
        <w:spacing w:after="60" w:before="60"/>
      </w:pPr>
    </w:p>
    <w:p>
      <w:pPr>
        <w:pageBreakBefore/>
        <w:spacing w:after="120" w:before="200"/>
      </w:pPr>
      <w:r>
        <w:rPr>
          <w:rFonts w:ascii="Arial" w:cs="Arial" w:eastAsia="Arial" w:hAnsi="Arial"/>
          <w:b/>
          <w:bCs/>
          <w:color w:val="1F4E79"/>
          <w:sz w:val="36"/>
          <w:szCs w:val="36"/>
        </w:rPr>
        <w:t xml:space="preserve">Part II: The DDH03 Benchmark Example</w:t>
      </w:r>
    </w:p>
    <w:p>
      <w:pPr>
        <w:pBdr>
          <w:bottom w:val="single" w:color="BDD7EE" w:sz="4" w:space="1"/>
        </w:pBdr>
        <w:spacing w:after="80" w:before="80"/>
      </w:pPr>
    </w:p>
    <w:p>
      <w:pPr>
        <w:spacing w:after="60" w:before="60"/>
      </w:pPr>
    </w:p>
    <w:p>
      <w:pPr>
        <w:pStyle w:val="Heading1"/>
        <w:spacing w:after="120" w:before="280"/>
      </w:pPr>
      <w:r>
        <w:rPr>
          <w:rFonts w:ascii="Arial" w:cs="Arial" w:eastAsia="Arial" w:hAnsi="Arial"/>
          <w:b/>
          <w:bCs/>
          <w:color w:val="1F4E79"/>
          <w:sz w:val="32"/>
          <w:szCs w:val="32"/>
        </w:rPr>
        <w:t xml:space="preserve">8. Model Geometry</w:t>
      </w:r>
    </w:p>
    <w:p>
      <w:pPr>
        <w:spacing w:after="80" w:before="80"/>
      </w:pPr>
      <w:r>
        <w:rPr>
          <w:rFonts w:ascii="Arial" w:cs="Arial" w:eastAsia="Arial" w:hAnsi="Arial"/>
          <w:sz w:val="22"/>
          <w:szCs w:val="22"/>
        </w:rPr>
        <w:t xml:space="preserve">The benchmark reproduces Figure 7 of DDH03: imaginary parts of the x-directed magnetic field (Im(Bxx) and Im(Bxz)) on the borehole axis as the tool traverses a 60°-dipping anisotropic formation. The geometry is a borehole (σ = 0.05 S/m, R = 0.1 m) surrounded by a mud-filtrate invasion zone (σ = 0.1 S/m, R = 0.6 m). The outer formation is divided by a 60° dipping plane into an isotropic region (σ = 0.5 S/m, above the plane on axis) and a transversely isotropic region (σ_T = 0.1 S/m, σ_N = 0.01 S/m, below the plane on axis).</w:t>
      </w:r>
    </w:p>
    <w:p>
      <w:pPr>
        <w:spacing w:after="60"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72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57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52,650 Hz</w:t>
            </w:r>
          </w:p>
        </w:tc>
        <w:tc>
          <w:tcPr>
            <w:tcW w:type="dxa" w:w="5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frequency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SIGMA_BORE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0.05 S/m</w:t>
            </w:r>
          </w:p>
        </w:tc>
        <w:tc>
          <w:tcPr>
            <w:tcW w:type="dxa" w:w="5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Borehole fluid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SIGMA_INV</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 S/m</w:t>
            </w:r>
          </w:p>
        </w:tc>
        <w:tc>
          <w:tcPr>
            <w:tcW w:type="dxa" w:w="5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Invasion zone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SIGMA_ISO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 S/m</w:t>
            </w:r>
          </w:p>
        </w:tc>
        <w:tc>
          <w:tcPr>
            <w:tcW w:type="dxa" w:w="5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Isotropic formation (above dipping plane on axis)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SIGMA_T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 S/m</w:t>
            </w:r>
          </w:p>
        </w:tc>
        <w:tc>
          <w:tcPr>
            <w:tcW w:type="dxa" w:w="5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Transverse conductivity of anisotropic formation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SIGMA_N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 S/m</w:t>
            </w:r>
          </w:p>
        </w:tc>
        <w:tc>
          <w:tcPr>
            <w:tcW w:type="dxa" w:w="5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 conductivity (10:1 resistivity anisotropy)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R_BORE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 m</w:t>
            </w:r>
          </w:p>
        </w:tc>
        <w:tc>
          <w:tcPr>
            <w:tcW w:type="dxa" w:w="5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Borehole radius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R_INV</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0.60 m</w:t>
            </w:r>
          </w:p>
        </w:tc>
        <w:tc>
          <w:tcPr>
            <w:tcW w:type="dxa" w:w="5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Invasion zone outer radius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DIP_RAD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π/3 = 1.0472 rad (60°)</w:t>
            </w:r>
          </w:p>
        </w:tc>
        <w:tc>
          <w:tcPr>
            <w:tcW w:type="dxa" w:w="5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Formation dip angle from borehole axis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D_PLANE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 m</w:t>
            </w:r>
          </w:p>
        </w:tc>
        <w:tc>
          <w:tcPr>
            <w:tcW w:type="dxa" w:w="5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Plane crosses borehole axis at z = −0.5 m</w:t>
            </w:r>
          </w:p>
        </w:tc>
      </w:tr>
    </w:tbl>
    <w:p>
      <w:pPr>
        <w:spacing w:after="60" w:before="60"/>
      </w:pPr>
    </w:p>
    <w:p>
      <w:pPr>
        <w:spacing w:after="80" w:before="80"/>
      </w:pPr>
      <w:r>
        <w:rPr>
          <w:rFonts w:ascii="Arial" w:cs="Arial" w:eastAsia="Arial" w:hAnsi="Arial"/>
          <w:sz w:val="22"/>
          <w:szCs w:val="22"/>
        </w:rPr>
        <w:t xml:space="preserve">The dipping plane crosses the axis at z = D_PLANE/cos(60°) = −0.5 m. The skin depth in the isotropic formation is δ ≈ 3.1 m at 52.65 kHz and 0.5 S/m.</w:t>
      </w:r>
    </w:p>
    <w:p>
      <w:pPr>
        <w:spacing w:after="60" w:before="60"/>
      </w:pPr>
    </w:p>
    <w:p>
      <w:pPr>
        <w:pStyle w:val="Heading1"/>
        <w:spacing w:after="120" w:before="280"/>
      </w:pPr>
      <w:r>
        <w:rPr>
          <w:rFonts w:ascii="Arial" w:cs="Arial" w:eastAsia="Arial" w:hAnsi="Arial"/>
          <w:b/>
          <w:bCs/>
          <w:color w:val="1F4E79"/>
          <w:sz w:val="32"/>
          <w:szCs w:val="32"/>
        </w:rPr>
        <w:t xml:space="preserve">9. Observables and the Crossing Diagnostic</w:t>
      </w:r>
    </w:p>
    <w:p>
      <w:pPr>
        <w:spacing w:after="80" w:before="80"/>
      </w:pPr>
      <w:r>
        <w:rPr>
          <w:rFonts w:ascii="Arial" w:cs="Arial" w:eastAsia="Arial" w:hAnsi="Arial"/>
          <w:sz w:val="22"/>
          <w:szCs w:val="22"/>
        </w:rPr>
        <w:t xml:space="preserve">Both Im(Bxx) (x-component, sensitive to transverse conductivity) and Im(Bxz) (z-component, sensitive to dip and anisotropy contrast) are always positive and decay away from the source. As the tool descends below the dipping plane, Im(Bxz) grows relative to Im(Bxx), and they cross at a depth z_cross.</w:t>
      </w:r>
    </w:p>
    <w:p>
      <w:pPr>
        <w:spacing w:after="60" w:before="60"/>
      </w:pPr>
    </w:p>
    <w:p>
      <w:pPr>
        <w:spacing w:after="80" w:before="80"/>
      </w:pPr>
      <w:r>
        <w:rPr>
          <w:rFonts w:ascii="Arial" w:cs="Arial" w:eastAsia="Arial" w:hAnsi="Arial"/>
          <w:sz w:val="22"/>
          <w:szCs w:val="22"/>
        </w:rPr>
        <w:t xml:space="preserve">The crossing depth z_cross where Im(Bxx) = Im(Bxz) is scale-invariant: independent of source moment, depending only on geometry and conductivity contrasts. It is the most robust single number for comparison with DDH03.</w:t>
      </w:r>
    </w:p>
    <w:p>
      <w:pPr>
        <w:spacing w:after="60" w:before="60"/>
      </w:pPr>
    </w:p>
    <w:p>
      <w:pPr>
        <w:pStyle w:val="Heading1"/>
        <w:spacing w:after="120" w:before="280"/>
      </w:pPr>
      <w:r>
        <w:rPr>
          <w:rFonts w:ascii="Arial" w:cs="Arial" w:eastAsia="Arial" w:hAnsi="Arial"/>
          <w:b/>
          <w:bCs/>
          <w:color w:val="1F4E79"/>
          <w:sz w:val="32"/>
          <w:szCs w:val="32"/>
        </w:rPr>
        <w:t xml:space="preserve">10. Interface Geometry in This Example</w:t>
      </w:r>
    </w:p>
    <w:p>
      <w:pPr>
        <w:spacing w:after="80" w:before="80"/>
      </w:pPr>
      <w:r>
        <w:rPr>
          <w:rFonts w:ascii="Arial" w:cs="Arial" w:eastAsia="Arial" w:hAnsi="Arial"/>
          <w:sz w:val="22"/>
          <w:szCs w:val="22"/>
        </w:rPr>
        <w:t xml:space="preserve">Three interface types are present simultaneously, making this a demanding test case for interface averaging:</w:t>
      </w:r>
    </w:p>
    <w:p>
      <w:pPr>
        <w:spacing w:after="60" w:before="60"/>
      </w:pPr>
    </w:p>
    <w:p>
      <w:pPr>
        <w:pStyle w:val="ListParagraph"/>
        <w:numPr>
          <w:ilvl w:val="0"/>
          <w:numId w:val="2"/>
        </w:numPr>
        <w:spacing w:after="40" w:before="40"/>
      </w:pPr>
      <w:r>
        <w:rPr>
          <w:rFonts w:ascii="Arial" w:cs="Arial" w:eastAsia="Arial" w:hAnsi="Arial"/>
          <w:sz w:val="22"/>
          <w:szCs w:val="22"/>
        </w:rPr>
        <w:t xml:space="preserve">Borehole wall: cylindrical at r = 0.10 m, radial normal, isotropic-to-isotropic.</w:t>
      </w:r>
    </w:p>
    <w:p>
      <w:pPr>
        <w:pStyle w:val="ListParagraph"/>
        <w:numPr>
          <w:ilvl w:val="0"/>
          <w:numId w:val="2"/>
        </w:numPr>
        <w:spacing w:after="40" w:before="40"/>
      </w:pPr>
      <w:r>
        <w:rPr>
          <w:rFonts w:ascii="Arial" w:cs="Arial" w:eastAsia="Arial" w:hAnsi="Arial"/>
          <w:sz w:val="22"/>
          <w:szCs w:val="22"/>
        </w:rPr>
        <w:t xml:space="preserve">Invasion boundary: cylindrical at r = 0.60 m, radial normal, isotropic-to-anisotropic (or isotropic-to-isotropic if the cell is also near the dipping plane).</w:t>
      </w:r>
    </w:p>
    <w:p>
      <w:pPr>
        <w:pStyle w:val="ListParagraph"/>
        <w:numPr>
          <w:ilvl w:val="0"/>
          <w:numId w:val="2"/>
        </w:numPr>
        <w:spacing w:after="40" w:before="40"/>
      </w:pPr>
      <w:r>
        <w:rPr>
          <w:rFonts w:ascii="Arial" w:cs="Arial" w:eastAsia="Arial" w:hAnsi="Arial"/>
          <w:sz w:val="22"/>
          <w:szCs w:val="22"/>
        </w:rPr>
        <w:t xml:space="preserve">Dipping formation plane: constant normal N_HAT = (sin60°, 0, cos60°), anisotropic-to-isotropic, tilted at 60° so the plane cuts through cells obliquely.</w:t>
      </w:r>
    </w:p>
    <w:p>
      <w:pPr>
        <w:spacing w:after="60" w:before="60"/>
      </w:pPr>
    </w:p>
    <w:p>
      <w:pPr>
        <w:spacing w:after="80" w:before="80"/>
      </w:pPr>
      <w:r>
        <w:rPr>
          <w:rFonts w:ascii="Arial" w:cs="Arial" w:eastAsia="Arial" w:hAnsi="Arial"/>
          <w:sz w:val="22"/>
          <w:szCs w:val="22"/>
        </w:rPr>
        <w:t xml:space="preserve">The dipping plane intersects the invasion boundary along a curve at r ≈ R_INV near z = −0.5 m. Cells in this vicinity straddle both interfaces simultaneously (doubly-straddled cells): roughly 550–650 cells depending on k, out of 11,000–41,000 total.</w:t>
      </w:r>
    </w:p>
    <w:p>
      <w:pPr>
        <w:spacing w:after="60" w:before="60"/>
      </w:pPr>
    </w:p>
    <w:p>
      <w:pPr>
        <w:spacing w:after="80" w:before="80"/>
      </w:pPr>
      <w:r>
        <w:rPr>
          <w:rFonts w:ascii="Arial" w:cs="Arial" w:eastAsia="Arial" w:hAnsi="Arial"/>
          <w:sz w:val="22"/>
          <w:szCs w:val="22"/>
        </w:rPr>
        <w:t xml:space="preserve">For all other interface cells, standard single-interface nodal homogenization (Section 4.1) applies. For doubly-straddled cells, sequential nodal homogenization (Section 4.2) applies: the two outer-formation regions are first collapsed into a single effective tensor via the nodal formula, which is then used in a second nodal homogenization at the cylindrical boundary. The spread in z_cross between pointwise outer-medium treatment and sequential nodal homogenization is 10–15 mm, a direct measure of sensitivity to the doubly-straddled cell treatment.</w:t>
      </w:r>
    </w:p>
    <w:p>
      <w:pPr>
        <w:spacing w:after="60" w:before="60"/>
      </w:pPr>
    </w:p>
    <w:p>
      <w:pPr>
        <w:pStyle w:val="Heading1"/>
        <w:spacing w:after="120" w:before="280"/>
      </w:pPr>
      <w:r>
        <w:rPr>
          <w:rFonts w:ascii="Arial" w:cs="Arial" w:eastAsia="Arial" w:hAnsi="Arial"/>
          <w:b/>
          <w:bCs/>
          <w:color w:val="1F4E79"/>
          <w:sz w:val="32"/>
          <w:szCs w:val="32"/>
        </w:rPr>
        <w:t xml:space="preserve">11. Convergence Results</w:t>
      </w:r>
    </w:p>
    <w:p>
      <w:pPr>
        <w:spacing w:after="80" w:before="80"/>
      </w:pPr>
      <w:r>
        <w:rPr>
          <w:rFonts w:ascii="Arial" w:cs="Arial" w:eastAsia="Arial" w:hAnsi="Arial"/>
          <w:sz w:val="22"/>
          <w:szCs w:val="22"/>
        </w:rPr>
        <w:t xml:space="preserve">With strategy E and appropriate h_min, the crossing depth converges to z_cross ≈ −1.29 to −1.33 m across k = 3–6:</w:t>
      </w:r>
    </w:p>
    <w:p>
      <w:pPr>
        <w:spacing w:after="60"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2000"/>
        <w:gridCol w:w="2120"/>
      </w:tblGrid>
      <w:tr>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k</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h_min (m)</w:t>
            </w:r>
          </w:p>
        </w:tc>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x_max</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z_cross strat E</w:t>
            </w:r>
          </w:p>
        </w:tc>
        <w:tc>
          <w:tcPr>
            <w:tcW w:type="dxa" w:w="21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vs. DDH03</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0.166 (magic)</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2.16 m  (0.70δ)</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−1.324 m</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edge of band</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2.80 m  (0.90δ)</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−1.290 m</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within band</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5.32 m  (1.72δ)</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−1.292 m</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within band</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9.32 m  (3.01δ)</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−1.306 m</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within band</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DDH03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−1.29 to −1.33 m</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reference</w:t>
            </w:r>
          </w:p>
        </w:tc>
      </w:tr>
    </w:tbl>
    <w:p>
      <w:pPr>
        <w:spacing w:after="60" w:before="60"/>
      </w:pPr>
    </w:p>
    <w:p>
      <w:pPr>
        <w:spacing w:after="80" w:before="80"/>
      </w:pPr>
      <w:r>
        <w:rPr>
          <w:rFonts w:ascii="Arial" w:cs="Arial" w:eastAsia="Arial" w:hAnsi="Arial"/>
          <w:b/>
          <w:bCs/>
          <w:sz w:val="22"/>
          <w:szCs w:val="22"/>
        </w:rPr>
        <w:t xml:space="preserve">Note on k=3: </w:t>
      </w:r>
      <w:r>
        <w:rPr>
          <w:rFonts w:ascii="Arial" w:cs="Arial" w:eastAsia="Arial" w:hAnsi="Arial"/>
          <w:sz w:val="22"/>
          <w:szCs w:val="22"/>
        </w:rPr>
        <w:t xml:space="preserve">With h_min = 0.10 m, x_max = 1.30 m (0.42δ) and R_INV falls at 62% invasion fraction inside a cell. Both problems shift the crossing to z ≈ −1.72 m. Setting h_min = R_INV/α = 0.166 m places R_INV exactly on a primary node and raises x_max to 2.16 m (0.70δ), restoring agreement. For k ≥ 4, h_min = 0.10 m is sufficient because R_INV already falls at 72–96% of the way toward the next node.</w:t>
      </w:r>
    </w:p>
    <w:p>
      <w:pPr>
        <w:spacing w:after="60" w:before="60"/>
      </w:pPr>
    </w:p>
    <w:p>
      <w:pPr>
        <w:pStyle w:val="Heading1"/>
        <w:spacing w:after="120" w:before="280"/>
      </w:pPr>
      <w:r>
        <w:rPr>
          <w:rFonts w:ascii="Arial" w:cs="Arial" w:eastAsia="Arial" w:hAnsi="Arial"/>
          <w:b/>
          <w:bCs/>
          <w:color w:val="1F4E79"/>
          <w:sz w:val="32"/>
          <w:szCs w:val="32"/>
        </w:rPr>
        <w:t xml:space="preserve">References</w:t>
      </w:r>
    </w:p>
    <w:p>
      <w:pPr>
        <w:spacing w:after="80" w:before="80"/>
      </w:pPr>
      <w:r>
        <w:rPr>
          <w:rFonts w:ascii="Arial" w:cs="Arial" w:eastAsia="Arial" w:hAnsi="Arial"/>
          <w:sz w:val="22"/>
          <w:szCs w:val="22"/>
        </w:rPr>
        <w:t xml:space="preserve">Backus, G. E. (1962). Long-wave elastic anisotropy produced by horizontal layering. Journal of Geophysical Research, 67(11), 4427–4440.</w:t>
      </w:r>
    </w:p>
    <w:p>
      <w:pPr>
        <w:spacing w:after="60" w:before="60"/>
      </w:pPr>
    </w:p>
    <w:p>
      <w:pPr>
        <w:spacing w:after="80" w:before="80"/>
      </w:pPr>
      <w:r>
        <w:rPr>
          <w:rFonts w:ascii="Arial" w:cs="Arial" w:eastAsia="Arial" w:hAnsi="Arial"/>
          <w:sz w:val="22"/>
          <w:szCs w:val="22"/>
        </w:rPr>
        <w:t xml:space="preserve">Davydycheva, S., Druskin, V., &amp; Habashy, T. (2003). An efficient finite-difference scheme for electromagnetic logging in 3D anisotropic inhomogeneous media. Geophysics, 68(5), 1525–1536.</w:t>
      </w:r>
    </w:p>
    <w:p>
      <w:pPr>
        <w:spacing w:after="60" w:before="60"/>
      </w:pPr>
    </w:p>
    <w:p>
      <w:pPr>
        <w:spacing w:after="80" w:before="80"/>
      </w:pPr>
      <w:r>
        <w:rPr>
          <w:rFonts w:ascii="Arial" w:cs="Arial" w:eastAsia="Arial" w:hAnsi="Arial"/>
          <w:sz w:val="22"/>
          <w:szCs w:val="22"/>
        </w:rPr>
        <w:t xml:space="preserve">Druskin, V., &amp; Knizhnerman, L. (1999). Gaussian spectral rules for the three-point second differences: I. A two-point positive definite problem in a semi-infinite domain. SIAM Journal on Numerical Analysis, 37(2), 403–422.</w:t>
      </w:r>
    </w:p>
    <w:p>
      <w:pPr>
        <w:spacing w:after="60" w:before="60"/>
      </w:pPr>
    </w:p>
    <w:p>
      <w:pPr>
        <w:spacing w:after="80" w:before="80"/>
      </w:pPr>
      <w:r>
        <w:rPr>
          <w:rFonts w:ascii="Arial" w:cs="Arial" w:eastAsia="Arial" w:hAnsi="Arial"/>
          <w:sz w:val="22"/>
          <w:szCs w:val="22"/>
        </w:rPr>
        <w:t xml:space="preserve">Moskow, S., Druskin, V., Habashy, T., Lee, P., &amp; Davydycheva, S. (1999). A finite difference scheme for elliptic equations with rough coefficients using a Cartesian grid nonconforming to interfaces. SIAM Journal on Numerical Analysis, 36(2), 442–466.</w:t>
      </w:r>
    </w:p>
    <w:p>
      <w:pPr>
        <w:spacing w:after="60" w:before="6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1"/>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1"/>
      </w:pBdr>
      <w:spacing w:after="80"/>
      <w:jc w:val="right"/>
    </w:pPr>
    <w:r>
      <w:rPr>
        <w:rFonts w:ascii="Arial" w:cs="Arial" w:eastAsia="Arial" w:hAnsi="Arial"/>
        <w:color w:val="888888"/>
        <w:sz w:val="18"/>
        <w:szCs w:val="18"/>
      </w:rPr>
      <w:t xml:space="preserve">Lebedev FD Maxwell Solver — Code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2026-05-14T00:59:57.854Z</dcterms:created>
  <dcterms:modified xsi:type="dcterms:W3CDTF">2026-05-14T00:59:57.854Z</dcterms:modified>
</cp:coreProperties>
</file>

<file path=docProps/custom.xml><?xml version="1.0" encoding="utf-8"?>
<Properties xmlns="http://schemas.openxmlformats.org/officeDocument/2006/custom-properties" xmlns:vt="http://schemas.openxmlformats.org/officeDocument/2006/docPropsVTypes"/>
</file>