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 w:eastAsia="Times New Roman"/>
          <w:b/>
          <w:i w:val="0"/>
          <w:sz w:val="22"/>
        </w:rPr>
        <w:t>Supplemental Digital Content 10</w:t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 xml:space="preserve">Table. </w:t>
      </w:r>
      <w:r>
        <w:rPr>
          <w:rFonts w:ascii="Times New Roman" w:hAnsi="Times New Roman" w:eastAsia="Times New Roman"/>
          <w:b w:val="0"/>
          <w:i w:val="0"/>
          <w:sz w:val="24"/>
        </w:rPr>
        <w:t>Evidence on perioperative brain injury as a second hit after tumor-related vulnerability.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17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Evidence type</w:t>
            </w:r>
          </w:p>
        </w:tc>
        <w:tc>
          <w:tcPr>
            <w:tcW w:type="dxa" w:w="1692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Studies</w:t>
            </w:r>
          </w:p>
        </w:tc>
        <w:tc>
          <w:tcPr>
            <w:tcW w:type="dxa" w:w="3270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Quantitative range or finding</w:t>
            </w:r>
          </w:p>
        </w:tc>
        <w:tc>
          <w:tcPr>
            <w:tcW w:type="dxa" w:w="2481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Interpretation</w:t>
            </w:r>
          </w:p>
        </w:tc>
      </w:tr>
      <w:tr>
        <w:trPr>
          <w:cantSplit w:val="true"/>
        </w:trPr>
        <w:tc>
          <w:tcPr>
            <w:tcW w:type="dxa" w:w="191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New diffusion-weighted lesions after resection</w:t>
            </w:r>
          </w:p>
        </w:tc>
        <w:tc>
          <w:tcPr>
            <w:tcW w:type="dxa" w:w="1692"/>
          </w:tcPr>
          <w:p>
            <w:r>
              <w:rPr>
                <w:rFonts w:ascii="Times New Roman" w:hAnsi="Times New Roman"/>
                <w:vertAlign w:val="superscript"/>
                <w:sz w:val="18"/>
              </w:rPr>
              <w:t>1-6</w:t>
            </w:r>
          </w:p>
        </w:tc>
        <w:tc>
          <w:tcPr>
            <w:tcW w:type="dxa" w:w="327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18.8% to 45.7% of operations or patients. 31% newly diagnosed versus 80% recurrent glioma</w:t>
            </w:r>
          </w:p>
        </w:tc>
        <w:tc>
          <w:tcPr>
            <w:tcW w:type="dxa" w:w="248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Linked to permanent deficit, incomplete recovery, and larger tumor, bleeding, and age</w:t>
            </w:r>
          </w:p>
        </w:tc>
      </w:tr>
      <w:tr>
        <w:trPr>
          <w:cantSplit w:val="true"/>
        </w:trPr>
        <w:tc>
          <w:tcPr>
            <w:tcW w:type="dxa" w:w="191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Postoperative release of injury markers</w:t>
            </w:r>
          </w:p>
        </w:tc>
        <w:tc>
          <w:tcPr>
            <w:tcW w:type="dxa" w:w="1692"/>
          </w:tcPr>
          <w:p>
            <w:r>
              <w:rPr>
                <w:rFonts w:ascii="Times New Roman" w:hAnsi="Times New Roman"/>
                <w:vertAlign w:val="superscript"/>
                <w:sz w:val="18"/>
              </w:rPr>
              <w:t>3,7-9</w:t>
            </w:r>
          </w:p>
        </w:tc>
        <w:tc>
          <w:tcPr>
            <w:tcW w:type="dxa" w:w="327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S100B, GFAP, tau, and NfL rose in 4 of 4 studies</w:t>
            </w:r>
          </w:p>
        </w:tc>
        <w:tc>
          <w:tcPr>
            <w:tcW w:type="dxa" w:w="248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Related to deficits, bleeding, midline shift, and MMSE decline in 3 of 4</w:t>
            </w:r>
          </w:p>
        </w:tc>
      </w:tr>
      <w:tr>
        <w:trPr>
          <w:cantSplit w:val="true"/>
        </w:trPr>
        <w:tc>
          <w:tcPr>
            <w:tcW w:type="dxa" w:w="191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Delirium or agitation</w:t>
            </w:r>
          </w:p>
        </w:tc>
        <w:tc>
          <w:tcPr>
            <w:tcW w:type="dxa" w:w="1692"/>
          </w:tcPr>
          <w:p>
            <w:r>
              <w:rPr>
                <w:rFonts w:ascii="Times New Roman" w:hAnsi="Times New Roman"/>
                <w:vertAlign w:val="superscript"/>
                <w:sz w:val="18"/>
              </w:rPr>
              <w:t>10-16</w:t>
            </w:r>
          </w:p>
        </w:tc>
        <w:tc>
          <w:tcPr>
            <w:tcW w:type="dxa" w:w="327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4.2% to 35% in observational cohorts. 28.7% to 46% in control arms</w:t>
            </w:r>
          </w:p>
        </w:tc>
        <w:tc>
          <w:tcPr>
            <w:tcW w:type="dxa" w:w="248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Higher with frailty, age, malignant histology, frontal approach, longer surgery</w:t>
            </w:r>
          </w:p>
        </w:tc>
      </w:tr>
      <w:tr>
        <w:trPr>
          <w:cantSplit w:val="true"/>
        </w:trPr>
        <w:tc>
          <w:tcPr>
            <w:tcW w:type="dxa" w:w="191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Cerebral perfusion and autoregulation</w:t>
            </w:r>
          </w:p>
        </w:tc>
        <w:tc>
          <w:tcPr>
            <w:tcW w:type="dxa" w:w="1692"/>
          </w:tcPr>
          <w:p>
            <w:r>
              <w:rPr>
                <w:rFonts w:ascii="Times New Roman" w:hAnsi="Times New Roman"/>
                <w:vertAlign w:val="superscript"/>
                <w:sz w:val="18"/>
              </w:rPr>
              <w:t>16-18</w:t>
            </w:r>
          </w:p>
        </w:tc>
        <w:tc>
          <w:tcPr>
            <w:tcW w:type="dxa" w:w="327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Autoregulation impaired before surgery in 20% and persisting after. New neurologic events 17.5% versus 40% by fluid strategy</w:t>
            </w:r>
          </w:p>
        </w:tc>
        <w:tc>
          <w:tcPr>
            <w:tcW w:type="dxa" w:w="248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Mean arterial pressure below 65 mmHg not associated with delirium</w:t>
            </w:r>
          </w:p>
        </w:tc>
      </w:tr>
      <w:tr>
        <w:trPr>
          <w:cantSplit w:val="true"/>
        </w:trPr>
        <w:tc>
          <w:tcPr>
            <w:tcW w:type="dxa" w:w="191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Preoperative state predicting postoperative course</w:t>
            </w:r>
          </w:p>
        </w:tc>
        <w:tc>
          <w:tcPr>
            <w:tcW w:type="dxa" w:w="1692"/>
          </w:tcPr>
          <w:p>
            <w:r>
              <w:rPr>
                <w:rFonts w:ascii="Times New Roman" w:hAnsi="Times New Roman"/>
                <w:vertAlign w:val="superscript"/>
                <w:sz w:val="18"/>
              </w:rPr>
              <w:t>10,19-21</w:t>
            </w:r>
          </w:p>
        </w:tc>
        <w:tc>
          <w:tcPr>
            <w:tcW w:type="dxa" w:w="327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Frailty strata, raised intracranial pressure, presurgical cognition, and connectivity each predicted outcome</w:t>
            </w:r>
          </w:p>
        </w:tc>
        <w:tc>
          <w:tcPr>
            <w:tcW w:type="dxa" w:w="248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Fits a two-hit sequence, interaction untested</w:t>
            </w:r>
          </w:p>
        </w:tc>
      </w:tr>
      <w:tr>
        <w:trPr>
          <w:cantSplit w:val="true"/>
        </w:trPr>
        <w:tc>
          <w:tcPr>
            <w:tcW w:type="dxa" w:w="191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Interventions aimed at the second hit</w:t>
            </w:r>
          </w:p>
        </w:tc>
        <w:tc>
          <w:tcPr>
            <w:tcW w:type="dxa" w:w="1692"/>
          </w:tcPr>
          <w:p>
            <w:r>
              <w:rPr>
                <w:rFonts w:ascii="Times New Roman" w:hAnsi="Times New Roman"/>
                <w:vertAlign w:val="superscript"/>
                <w:sz w:val="18"/>
              </w:rPr>
              <w:t>18,22-31</w:t>
            </w:r>
          </w:p>
        </w:tc>
        <w:tc>
          <w:tcPr>
            <w:tcW w:type="dxa" w:w="327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Delirium 46% to 22% with dexmedetomidine. 28.7% to 15.6% with frailty-directed rehabilitation. Four magnesium trials with mixed results</w:t>
            </w:r>
          </w:p>
        </w:tc>
        <w:tc>
          <w:tcPr>
            <w:tcW w:type="dxa" w:w="248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Mostly small single-center trials with surrogate endpoints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 w:val="0"/>
          <w:i w:val="0"/>
          <w:sz w:val="18"/>
        </w:rPr>
        <w:t>Ranges are the lowest and highest values reported by the cited studies and are not pooled estimates.</w:t>
      </w:r>
    </w:p>
    <w:p>
      <w:pPr>
        <w:keepNext/>
        <w:spacing w:before="280"/>
      </w:pPr>
      <w:r>
        <w:rPr>
          <w:rFonts w:ascii="Times New Roman" w:hAnsi="Times New Roman" w:eastAsia="Times New Roman"/>
          <w:b/>
          <w:i w:val="0"/>
          <w:sz w:val="22"/>
        </w:rPr>
        <w:t>References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1.</w:t>
        <w:tab/>
        <w:t>Strand PS, Sagberg LM, Gulati S, et al. Brain infarction following meningioma surgery-incidence, risk factors, and impact on function, seizure risk, and patient-reported quality of life. Neurosurg Rev. 2022;45:3237-3244. DOI: 10.1007/s10143-022-01840-1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2.</w:t>
        <w:tab/>
        <w:t>Strand PS, Berntsen EM, Fyllingen EH, et al. Brain infarctions after glioma surgery: prevalence, radiological characteristics and risk factors. Acta Neurochir (Wien). 2021;163:3097-3108. DOI: 10.1007/s00701-021-04914-z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3.</w:t>
        <w:tab/>
        <w:t>Michaëlsson I, Hallén T, Carstam L, et al. Circulating brain injury biomarkers: a novel method for quantification of the impact on the brain after tumor surgery. Neurosurgery. 2023;93:847-856. DOI: 10.1227/neu.0000000000002510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4.</w:t>
        <w:tab/>
        <w:t>Gempt J, Krieg SM, Hüttinger S, et al. Postoperative ischemic changes after glioma resection identified by diffusion-weighted magnetic resonance imaging and their association with intraoperative motor evoked potentials. J Neurosurg. 2013;119:829-836. DOI: 10.3171/2013.5.jns121981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5.</w:t>
        <w:tab/>
        <w:t>Gempt J, Förschler A, Buchmann N, et al. Postoperative ischemic changes following resection of newly diagnosed and recurrent gliomas and their clinical relevance. J Neurosurg. 2013;118:801-808. DOI: 10.3171/2012.12.jns12125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6.</w:t>
        <w:tab/>
        <w:t>Khan RB, Gutin PH, Rai SN, et al. Use of diffusion weighted MRI in predicting early postoperative outcome of new neurological deficits after brain tumor resection. Neurosurgery. 2006;59:60-66. DOI: 10.1227/01.neu.0000219218.43128.fc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7.</w:t>
        <w:tab/>
        <w:t>Einav S, Shoshan Y, Ovadia H, et al. Early postoperative serum S100β levels predict ongoing brain damage after meningioma surgery: a prospective observational study. Crit Care. 2006;10:R141. DOI: 10.1186/cc5058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8.</w:t>
        <w:tab/>
        <w:t>Baumgarten P, Quick-Weller J, Gessler F, et al. Pre- and early postoperative GFAP serum levels in glioma and brain metastases. J Neurooncol. 2018;139:541-546. DOI: 10.1007/s11060-018-2898-1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9.</w:t>
        <w:tab/>
        <w:t>Stranjalis G, Korfias S, Psachoulia C, et al. Serum S-100B as an indicator of early postoperative deterioration after meningioma surgery. Clin Chem. 2005;51:202-207. DOI: 10.1373/clinchem.2004.039719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10.</w:t>
        <w:tab/>
        <w:t>Wang CM, Ma YL, Yang XY, et al. Association of preoperative frailty with postoperative delirium after elective brain tumor resection: retrospective analysis of a prospective cohort. Surgery. 2021;170:1763-1769. DOI: 10.1016/j.surg.2021.05.048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11.</w:t>
        <w:tab/>
        <w:t>Chen H, Jiang H, Chen B, et al. The incidence and predictors of postoperative delirium after brain tumor resection in adults: a cross-sectional survey. World Neurosurg. 2020;140:e129-e139. DOI: 10.1016/j.wneu.2020.04.195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12.</w:t>
        <w:tab/>
        <w:t>Fu W, Li Y, Liu R, et al. Incidence and risk factors of delirium following brain tumor resection: a retrospective national inpatient sample database study. World Neurosurg. 2024;189:e533-e543. DOI: 10.1016/j.wneu.2024.06.108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13.</w:t>
        <w:tab/>
        <w:t>Gu WJ, Zhou JX, Ji RQ, et al. Incidence, risk factors, and consequences of emergence delirium after elective brain tumor resection. Surgeon. 2022;20:e214-e220. DOI: 10.1016/j.surge.2021.09.005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14.</w:t>
        <w:tab/>
        <w:t>Huang HW, Yan LM, Yang YL, et al. Bi-frontal pneumocephalus is an independent risk factor for early postoperative agitation in adult patients admitted to intensive care unit after elective craniotomy for brain tumor: a prospective cohort study. PLoS One. 2018;13:e0201064. DOI: 10.1371/journal.pone.0201064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15.</w:t>
        <w:tab/>
        <w:t>Budėnas A, Tamašauskas Š, Šliaužys A, et al. Incidence and clinical significance of postoperative delirium after brain tumor surgery. Acta Neurochir (Wien). 2018;160:2327-2337. DOI: 10.1007/s00701-018-3718-2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16.</w:t>
        <w:tab/>
        <w:t>Wu Y, Ren Y, Li S, et al. Association between intraoperative hypotension during brain tumor resection and postoperative delirium: a secondary analysis of a randomized controlled trial. PLoS One. 2025;20:e0334094. DOI: 10.1371/journal.pone.0334094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17.</w:t>
        <w:tab/>
        <w:t>Sharma D, Bithal PK, Dash HH, et al. Cerebral autoregulation and CO2 reactivity before and after elective supratentorial tumor resection. J Neurosurg Anesthesiol. 2010;22:132-137. DOI: 10.1097/ana.0b013e3181c9fbf1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18.</w:t>
        <w:tab/>
        <w:t>Wu CY, Lin YS, Tseng HM, et al. Comparison of two stroke volume variation-based goal-directed fluid therapies for supratentorial brain tumour resection: a randomized controlled trial. Br J Anaesth. 2017;119:934-942. DOI: 10.1093/bja/aex189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19.</w:t>
        <w:tab/>
        <w:t>Bommakanti K, Somayajula S, Suvarna A, et al. Pre-operative and post-operative cognitive deficits in patients with supratentorial meningiomas. Clin Neurol Neurosurg. 2016;143:150-158. DOI: 10.1016/j.clineuro.2016.02.033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20.</w:t>
        <w:tab/>
        <w:t>Zangrossi A, Silvestri E, Bisio M, et al. Presurgical predictors of early cognitive outcome after brain tumor resection in glioma patients. Neuroimage Clin. 2022;36:103219. DOI: 10.1016/j.nicl.2022.103219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21.</w:t>
        <w:tab/>
        <w:t>Tran TM, Khanmohammadi S. Presurgical neural energy landscapes predict postoperative working memory outcome after brain tumor resection. arXiv. Published online 2025. DOI: 10.48550/arXiv.2507.23057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22.</w:t>
        <w:tab/>
        <w:t>Gracia I, Fàbregas N, Hurtado P, et al. Effect of perioperative magnesium sulfate on neurological outcome in neurosurgical patients: a randomized double-blind controlled trial. Minerva Anestesiol. 2025;91:45-57. DOI: 10.23736/s0375-9393.24.18401-5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23.</w:t>
        <w:tab/>
        <w:t>Jitsinthunun T, Raksakietisak M, Pantubtim C, et al. Effects of magnesium sulfate on intraoperative blood loss and anesthetic requirement in meningioma patients undergoing craniotomy with tumor removal: a prospective randomized study. J Neuroanaesth Crit Care. 2022;9:168-176. DOI: 10.1055/s-0042-1750692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24.</w:t>
        <w:tab/>
        <w:t>Li S, Li R, Li M, et al. Dexmedetomidine administration during brain tumour resection for prevention of postoperative delirium: a randomised trial. Br J Anaesth. 2023;130:e307-e316. DOI: 10.1016/j.bja.2022.10.041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25.</w:t>
        <w:tab/>
        <w:t>Mahajan C, Mishra RK, Jena BR, et al. Effect of magnesium and lignocaine on post-craniotomy pain: a comparative, randomized, double blind, placebo-controlled study. Saudi J Anaesth. 2019;13:299-305. DOI: 10.4103/sja.sja_837_18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26.</w:t>
        <w:tab/>
        <w:t>Mirrahimi B, Mortazavi A, Nouri M, et al. Effect of magnesium on functional outcome and paraclinical parameters of patients undergoing supratentorial craniotomy for brain tumors: a randomized controlled trial. Acta Neurochir (Wien). 2015;157:985-991. DOI: 10.1007/s00701-015-2376-x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27.</w:t>
        <w:tab/>
        <w:t>Peng Y, Zhang W, Zhou X, et al. Lidocaine did not reduce neuropsychological-cognitive decline in patients 6 months after supratentorial tumor surgery. J Neurosurg Anesthesiol. 2016;28:6-13. DOI: 10.1097/ana.0000000000000171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28.</w:t>
        <w:tab/>
        <w:t>Tan C, Li M. Effects of ciprofol on hemodynamics and cerebral protection in patients undergoing meningioma resection. Medicine (Baltimore). 2025;104:e43386. DOI: 10.1097/md.0000000000043386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29.</w:t>
        <w:tab/>
        <w:t>Wu Z, Sun X, Wu Y, et al. Curve fitting algorithm-based contrast-enhanced ultrasound image for evaluating the effect of dexmedetomidine on neurological function in patients undergoing brain tumor surgery. Sci Program. 2022;2022:7717075. DOI: 10.1155/2022/7717075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30.</w:t>
        <w:tab/>
        <w:t>Yuan Y, Gu Q, Zhu M, et al. Reducing postoperative delirium in brain tumor patients through frailty-originated early rehabilitation: findings from a prospective randomized study. Asia Pac J Oncol Nurs. 2023;10:100263. DOI: 10.1016/j.apjon.2023.100263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31.</w:t>
        <w:tab/>
        <w:t>Zhao K, Dong Y, Su G, et al. Effect of systemic lidocaine on postoperative early recovery quality in patients undergoing supratentorial tumor resection. Drug Des Devel Ther. 2022;16:1171-1181. DOI: 10.2147/dddt.s359755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="Times New Roman" w:hAnsi="Times New Roman" w:eastAsia="Times New Roman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="Times New Roman" w:hAnsi="Times New Roman" w:eastAsia="Times New Roman"/>
      <w:b/>
      <w:bCs/>
      <w:i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Digital Content 10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