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Times New Roman"/>
          <w:b/>
          <w:i w:val="0"/>
          <w:sz w:val="22"/>
        </w:rPr>
        <w:t>Supplemental Digital Content 11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Table. </w:t>
      </w:r>
      <w:r>
        <w:rPr>
          <w:rFonts w:ascii="Times New Roman" w:hAnsi="Times New Roman" w:eastAsia="Times New Roman"/>
          <w:b w:val="0"/>
          <w:i w:val="0"/>
          <w:sz w:val="24"/>
        </w:rPr>
        <w:t>Instrument-focused stratum, studies of MoCA-INA, NANO-Ina, and their parent instruments.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99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Study</w:t>
            </w:r>
          </w:p>
        </w:tc>
        <w:tc>
          <w:tcPr>
            <w:tcW w:type="dxa" w:w="110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Country</w:t>
            </w:r>
          </w:p>
        </w:tc>
        <w:tc>
          <w:tcPr>
            <w:tcW w:type="dxa" w:w="110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Design</w:t>
            </w:r>
          </w:p>
        </w:tc>
        <w:tc>
          <w:tcPr>
            <w:tcW w:type="dxa" w:w="1707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Population</w:t>
            </w:r>
          </w:p>
        </w:tc>
        <w:tc>
          <w:tcPr>
            <w:tcW w:type="dxa" w:w="110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Instrument</w:t>
            </w:r>
          </w:p>
        </w:tc>
        <w:tc>
          <w:tcPr>
            <w:tcW w:type="dxa" w:w="3359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Main findings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Nayak, 2017</w:t>
            </w:r>
            <w:r>
              <w:rPr>
                <w:rFonts w:ascii="Times New Roman" w:hAnsi="Times New Roman"/>
                <w:vertAlign w:val="superscript"/>
                <w:sz w:val="16"/>
              </w:rPr>
              <w:t>1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Multinational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Multicenter reliability study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Brain tumor (RANO setting)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NANO scale, 9 neurologic domains, clinician-rated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Inter-observer agreement above 90% (kappa 0.35 to 0.83), median administration time 4 min (IQR 3 to 5).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Angelita, 2026</w:t>
            </w:r>
            <w:r>
              <w:rPr>
                <w:rFonts w:ascii="Times New Roman" w:hAnsi="Times New Roman"/>
                <w:vertAlign w:val="superscript"/>
                <w:sz w:val="16"/>
              </w:rPr>
              <w:t>2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Indonesia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Cross-sectional validation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Brain tumors n = 30 (glioblastoma 7, meningioma 7, metastasis 9, other 7)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NANO-Ina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Weighted kappa 0.629 (sensation) to 0.935 (facial strength) across reported domains. Most patients (77%) were untreated at assessment, and the work came from a single center.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Jammula, 2022</w:t>
            </w:r>
            <w:r>
              <w:rPr>
                <w:rFonts w:ascii="Times New Roman" w:hAnsi="Times New Roman"/>
                <w:vertAlign w:val="superscript"/>
                <w:sz w:val="16"/>
              </w:rPr>
              <w:t>3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USA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Cross-sectional feasibility study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Primary CNS tumors n = 71 (47 in person, 24 telehealth)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MoCA, abnormal at 25 or lower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Median 27 (range 6 to 30), 32% abnormal. Lower MoCA tracked KPS (r = 0.35), age (r = 0.27), and MDASI-BT cognitive burden (r = -0.27). Providers found it feasible.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Bangun, 2018</w:t>
            </w:r>
            <w:r>
              <w:rPr>
                <w:rFonts w:ascii="Times New Roman" w:hAnsi="Times New Roman"/>
                <w:vertAlign w:val="superscript"/>
                <w:sz w:val="16"/>
              </w:rPr>
              <w:t>4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Indonesia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Cross-sectional study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Brain tumors at diagnosis, n = 33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MoCA-Ina, MMSE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Mean MoCA-Ina 21.79 (SD 4.93), MMSE 23.76 (SD 4.08). Abnormal scores clustered at 7 to 9 years of education. Attention and calculation impaired in 90.9% (MMSE) and delayed recall in 90.9% (MoCA-Ina).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Rambe, 2017</w:t>
            </w:r>
            <w:r>
              <w:rPr>
                <w:rFonts w:ascii="Times New Roman" w:hAnsi="Times New Roman"/>
                <w:vertAlign w:val="superscript"/>
                <w:sz w:val="16"/>
              </w:rPr>
              <w:t>5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Indonesia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Cross-sectional study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Elderly adults (65 years or older), n = 83, no tumor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MoCA-INA, MMSE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MoCA-INA mean 21.06 (SD 4.56) against MMSE 24.96 (SD 3.38), Pearson r = 0.71. MoCA-INA below 26 in 85.5%.</w:t>
            </w:r>
          </w:p>
        </w:tc>
      </w:tr>
      <w:tr>
        <w:trPr>
          <w:cantSplit w:val="true"/>
        </w:trPr>
        <w:tc>
          <w:tcPr>
            <w:tcW w:type="dxa" w:w="99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Wonggo, 2025</w:t>
            </w:r>
            <w:r>
              <w:rPr>
                <w:rFonts w:ascii="Times New Roman" w:hAnsi="Times New Roman"/>
                <w:vertAlign w:val="superscript"/>
                <w:sz w:val="16"/>
              </w:rPr>
              <w:t>6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Indonesia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Cross-sectional before-after study</w:t>
            </w:r>
          </w:p>
        </w:tc>
        <w:tc>
          <w:tcPr>
            <w:tcW w:type="dxa" w:w="170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Anesthesiology residents, n = 31, no tumor</w:t>
            </w:r>
          </w:p>
        </w:tc>
        <w:tc>
          <w:tcPr>
            <w:tcW w:type="dxa" w:w="11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MoCA-INA</w:t>
            </w:r>
          </w:p>
        </w:tc>
        <w:tc>
          <w:tcPr>
            <w:tcW w:type="dxa" w:w="33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Mean score fell from 26.84 to 25.00 (Wilcoxon Z = -3.778, p &lt; .001), mainly in visuospatial, attention, and memory domains.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16"/>
        </w:rPr>
        <w:t>These six studies were reported separately from the core evidence base. Two included no patients with tumors and are included as evidence on the Indonesian MoCA. IQR, interquartile range. MDASI-BT, MD Anderson Symptom Inventory for brain tumor. RANO, Response Assessment in Neuro-Oncology.</w:t>
      </w:r>
    </w:p>
    <w:p>
      <w:pPr>
        <w:keepNext/>
        <w:spacing w:before="280"/>
      </w:pPr>
      <w:r>
        <w:rPr>
          <w:rFonts w:ascii="Times New Roman" w:hAnsi="Times New Roman" w:eastAsia="Times New Roman"/>
          <w:b/>
          <w:i w:val="0"/>
          <w:sz w:val="22"/>
        </w:rPr>
        <w:t>References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1.</w:t>
        <w:tab/>
        <w:t>Nayak L, DeAngelis LM, Brandes AA, et al. The Neurologic Assessment in Neuro-Oncology (NANO) scale: a tool to assess neurologic function for integration into the Response Assessment in Neuro-Oncology (RANO) criteria. Neuro Oncol. 2017;19:625-635. DOI: 10.1093/neuonc/nox029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2.</w:t>
        <w:tab/>
        <w:t>Angelita M, Andini P, Andriani R, et al. Translation and validation of the Neurologic Assessment in Neuro-Oncology scale into Indonesian (NANO-Ina). Asian Pac J Cancer Prev. 2026;27:941-946. DOI: 10.31557/apjcp.2026.27.3.941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3.</w:t>
        <w:tab/>
        <w:t>Jammula V, Rogers JL, Vera E, et al. The Montreal Cognitive Assessment (MoCA) in neuro-oncology: a pilot study of feasibility and utility in telehealth and in-person clinical assessments. Neurooncol Pract. 2022;9:429-440. DOI: 10.1093/nop/npac038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4.</w:t>
        <w:tab/>
        <w:t>Bangun S, Sjahrir H, Fitri FI. The difference of MMSE and MoCA-Ina scores in brain tumors. In: Stem Cell Oncology. CRC Press, 2018. DOI: 10.1201/9781351190152-26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5.</w:t>
        <w:tab/>
        <w:t>Rambe AS, Fitri FI. Correlation between the Montreal Cognitive Assessment-Indonesian Version (MoCA-INA) and the Mini-Mental State Examination (MMSE) in elderly. Open Access Maced J Med Sci. 2017;5:915-919. DOI: 10.3889/oamjms.2017.202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6.</w:t>
        <w:tab/>
        <w:t>Wonggo T, Kambey BI, Lalenoh DC. Cognitive function MoCA-INA scale of anaesthesiology and intensive therapy residents: a comparison of before and after on-call duty. Med Scope J. 2025;7:183-188. DOI: 10.35790/msj.v7i1.56407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/>
      <w:b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 11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