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 w:eastAsia="Times New Roman"/>
          <w:b/>
          <w:i w:val="0"/>
          <w:sz w:val="22"/>
        </w:rPr>
        <w:t>Supplemental Digital Content 9</w:t>
      </w:r>
    </w:p>
    <w:p>
      <w:pPr>
        <w:keepNext/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 xml:space="preserve">Table. </w:t>
      </w:r>
      <w:r>
        <w:rPr>
          <w:rFonts w:ascii="Times New Roman" w:hAnsi="Times New Roman" w:eastAsia="Times New Roman"/>
          <w:b w:val="0"/>
          <w:i w:val="0"/>
          <w:sz w:val="24"/>
        </w:rPr>
        <w:t>Biomarkers measured in the core evidence base, with source, interpretation, sampling, and main findings.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015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Marker</w:t>
            </w:r>
          </w:p>
        </w:tc>
        <w:tc>
          <w:tcPr>
            <w:tcW w:type="dxa" w:w="2255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Source and interpretation</w:t>
            </w:r>
          </w:p>
        </w:tc>
        <w:tc>
          <w:tcPr>
            <w:tcW w:type="dxa" w:w="1579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Typical sampling</w:t>
            </w:r>
          </w:p>
        </w:tc>
        <w:tc>
          <w:tcPr>
            <w:tcW w:type="dxa" w:w="902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Studies with data (n)</w:t>
            </w:r>
          </w:p>
        </w:tc>
        <w:tc>
          <w:tcPr>
            <w:tcW w:type="dxa" w:w="3609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Main findings</w:t>
            </w:r>
          </w:p>
        </w:tc>
      </w:tr>
      <w:tr>
        <w:trPr>
          <w:cantSplit w:val="true"/>
        </w:trPr>
        <w:tc>
          <w:tcPr>
            <w:tcW w:type="dxa" w:w="101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S100B</w:t>
            </w:r>
          </w:p>
        </w:tc>
        <w:tc>
          <w:tcPr>
            <w:tcW w:type="dxa" w:w="22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Astrocytic calcium-binding protein with a serum half-life of about 30 minutes. Rise marks astrocytic injury or barrier permeability</w:t>
            </w:r>
          </w:p>
        </w:tc>
        <w:tc>
          <w:tcPr>
            <w:tcW w:type="dxa" w:w="157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Baseline, end of surgery, 24 to 48 h, daily to day 7 in one study</w:t>
            </w:r>
          </w:p>
        </w:tc>
        <w:tc>
          <w:tcPr>
            <w:tcW w:type="dxa" w:w="90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60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Rose after meningioma surgery</w:t>
            </w:r>
            <w:r>
              <w:rPr>
                <w:rFonts w:ascii="Times New Roman" w:hAnsi="Times New Roman"/>
                <w:vertAlign w:val="superscript"/>
                <w:sz w:val="16"/>
              </w:rPr>
              <w:t>1,2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. Lower with magnesium</w:t>
            </w:r>
            <w:r>
              <w:rPr>
                <w:rFonts w:ascii="Times New Roman" w:hAnsi="Times New Roman"/>
                <w:vertAlign w:val="superscript"/>
                <w:sz w:val="16"/>
              </w:rPr>
              <w:t>3,4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, electroacupuncture</w:t>
            </w:r>
            <w:r>
              <w:rPr>
                <w:rFonts w:ascii="Times New Roman" w:hAnsi="Times New Roman"/>
                <w:vertAlign w:val="superscript"/>
                <w:sz w:val="16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, dexmedetomidine</w:t>
            </w:r>
            <w:r>
              <w:rPr>
                <w:rFonts w:ascii="Times New Roman" w:hAnsi="Times New Roman"/>
                <w:vertAlign w:val="superscript"/>
                <w:sz w:val="16"/>
              </w:rPr>
              <w:t>6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, lidocaine</w:t>
            </w:r>
            <w:r>
              <w:rPr>
                <w:rFonts w:ascii="Times New Roman" w:hAnsi="Times New Roman"/>
                <w:vertAlign w:val="superscript"/>
                <w:sz w:val="16"/>
              </w:rPr>
              <w:t>7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. No primary difference with magnesium</w:t>
            </w:r>
            <w:r>
              <w:rPr>
                <w:rFonts w:ascii="Times New Roman" w:hAnsi="Times New Roman"/>
                <w:vertAlign w:val="superscript"/>
                <w:sz w:val="16"/>
              </w:rPr>
              <w:t>8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. Higher with ciprofol</w:t>
            </w:r>
            <w:r>
              <w:rPr>
                <w:rFonts w:ascii="Times New Roman" w:hAnsi="Times New Roman"/>
                <w:vertAlign w:val="superscript"/>
                <w:sz w:val="16"/>
              </w:rPr>
              <w:t>9</w:t>
            </w:r>
          </w:p>
        </w:tc>
      </w:tr>
      <w:tr>
        <w:trPr>
          <w:cantSplit w:val="true"/>
        </w:trPr>
        <w:tc>
          <w:tcPr>
            <w:tcW w:type="dxa" w:w="101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Neuron-specific enolase</w:t>
            </w:r>
          </w:p>
        </w:tc>
        <w:tc>
          <w:tcPr>
            <w:tcW w:type="dxa" w:w="22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Neuronal glycolytic enzyme. Rise reflects neuronal injury</w:t>
            </w:r>
          </w:p>
        </w:tc>
        <w:tc>
          <w:tcPr>
            <w:tcW w:type="dxa" w:w="157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Same schedule as S100B</w:t>
            </w:r>
          </w:p>
        </w:tc>
        <w:tc>
          <w:tcPr>
            <w:tcW w:type="dxa" w:w="90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 (plus 1 protocol)</w:t>
            </w:r>
          </w:p>
        </w:tc>
        <w:tc>
          <w:tcPr>
            <w:tcW w:type="dxa" w:w="360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Lower with electroacupuncture, dexmedetomidine, lidocaine, and goal-directed fluids</w:t>
            </w:r>
            <w:r>
              <w:rPr>
                <w:rFonts w:ascii="Times New Roman" w:hAnsi="Times New Roman"/>
                <w:vertAlign w:val="superscript"/>
                <w:sz w:val="16"/>
              </w:rPr>
              <w:t>5-7,10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. No difference with magnesium</w:t>
            </w:r>
            <w:r>
              <w:rPr>
                <w:rFonts w:ascii="Times New Roman" w:hAnsi="Times New Roman"/>
                <w:vertAlign w:val="superscript"/>
                <w:sz w:val="16"/>
              </w:rP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. Higher with ciprofol</w:t>
            </w:r>
            <w:r>
              <w:rPr>
                <w:rFonts w:ascii="Times New Roman" w:hAnsi="Times New Roman"/>
                <w:vertAlign w:val="superscript"/>
                <w:sz w:val="16"/>
              </w:rPr>
              <w:t>9</w:t>
            </w:r>
          </w:p>
        </w:tc>
      </w:tr>
      <w:tr>
        <w:trPr>
          <w:cantSplit w:val="true"/>
        </w:trPr>
        <w:tc>
          <w:tcPr>
            <w:tcW w:type="dxa" w:w="101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GFAP</w:t>
            </w:r>
          </w:p>
        </w:tc>
        <w:tc>
          <w:tcPr>
            <w:tcW w:type="dxa" w:w="22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Astrocytic intermediate filament. Also released by glioma cells through a leaky barrier</w:t>
            </w:r>
          </w:p>
        </w:tc>
        <w:tc>
          <w:tcPr>
            <w:tcW w:type="dxa" w:w="157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Baseline, day 1, 3, 5, 7, 10</w:t>
            </w:r>
          </w:p>
        </w:tc>
        <w:tc>
          <w:tcPr>
            <w:tcW w:type="dxa" w:w="90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60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Rose after surgery and higher with new deficits</w:t>
            </w:r>
            <w:r>
              <w:rPr>
                <w:rFonts w:ascii="Times New Roman" w:hAnsi="Times New Roman"/>
                <w:vertAlign w:val="superscript"/>
                <w:sz w:val="16"/>
              </w:rPr>
              <w:t>11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. No link with residual tumor</w:t>
            </w:r>
            <w:r>
              <w:rPr>
                <w:rFonts w:ascii="Times New Roman" w:hAnsi="Times New Roman"/>
                <w:vertAlign w:val="superscript"/>
                <w:sz w:val="16"/>
              </w:rPr>
              <w:t>12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. Lower with fluid strategy and dexmedetomidine</w:t>
            </w:r>
            <w:r>
              <w:rPr>
                <w:rFonts w:ascii="Times New Roman" w:hAnsi="Times New Roman"/>
                <w:vertAlign w:val="superscript"/>
                <w:sz w:val="16"/>
              </w:rPr>
              <w:t>6,10</w:t>
            </w:r>
          </w:p>
        </w:tc>
      </w:tr>
      <w:tr>
        <w:trPr>
          <w:cantSplit w:val="true"/>
        </w:trPr>
        <w:tc>
          <w:tcPr>
            <w:tcW w:type="dxa" w:w="101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Tau</w:t>
            </w:r>
          </w:p>
        </w:tc>
        <w:tc>
          <w:tcPr>
            <w:tcW w:type="dxa" w:w="22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Axonal and cortical interneuron protein</w:t>
            </w:r>
          </w:p>
        </w:tc>
        <w:tc>
          <w:tcPr>
            <w:tcW w:type="dxa" w:w="157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Baseline to day 10</w:t>
            </w:r>
          </w:p>
        </w:tc>
        <w:tc>
          <w:tcPr>
            <w:tcW w:type="dxa" w:w="90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60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Rose on days 1 and 3</w:t>
            </w:r>
            <w:r>
              <w:rPr>
                <w:rFonts w:ascii="Times New Roman" w:hAnsi="Times New Roman"/>
                <w:vertAlign w:val="superscript"/>
                <w:sz w:val="16"/>
              </w:rPr>
              <w:t>11</w:t>
            </w:r>
          </w:p>
        </w:tc>
      </w:tr>
      <w:tr>
        <w:trPr>
          <w:cantSplit w:val="true"/>
        </w:trPr>
        <w:tc>
          <w:tcPr>
            <w:tcW w:type="dxa" w:w="101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Neurofilament light chain</w:t>
            </w:r>
          </w:p>
        </w:tc>
        <w:tc>
          <w:tcPr>
            <w:tcW w:type="dxa" w:w="22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Large-caliber axon filament. Late peak suggests continuing axonal degeneration</w:t>
            </w:r>
          </w:p>
        </w:tc>
        <w:tc>
          <w:tcPr>
            <w:tcW w:type="dxa" w:w="157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Baseline to day 10</w:t>
            </w:r>
          </w:p>
        </w:tc>
        <w:tc>
          <w:tcPr>
            <w:tcW w:type="dxa" w:w="90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60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Rose on days 1 and 3 with a second peak at day 10</w:t>
            </w:r>
            <w:r>
              <w:rPr>
                <w:rFonts w:ascii="Times New Roman" w:hAnsi="Times New Roman"/>
                <w:vertAlign w:val="superscript"/>
                <w:sz w:val="16"/>
              </w:rPr>
              <w:t>11</w:t>
            </w:r>
          </w:p>
        </w:tc>
      </w:tr>
      <w:tr>
        <w:trPr>
          <w:cantSplit w:val="true"/>
        </w:trPr>
        <w:tc>
          <w:tcPr>
            <w:tcW w:type="dxa" w:w="101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IL-6, IL-8, TNF-alpha</w:t>
            </w:r>
          </w:p>
        </w:tc>
        <w:tc>
          <w:tcPr>
            <w:tcW w:type="dxa" w:w="22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Cytokines from tumor cells, immune cells, endothelium, injured neurons and astrocytes, and surgical trauma</w:t>
            </w:r>
          </w:p>
        </w:tc>
        <w:tc>
          <w:tcPr>
            <w:tcW w:type="dxa" w:w="157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Microdialysis every 6 h for 96 h, single tissue samples, or end of surgery and day 1 in trials</w:t>
            </w:r>
          </w:p>
        </w:tc>
        <w:tc>
          <w:tcPr>
            <w:tcW w:type="dxa" w:w="90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IL-6 5, IL-8 2, TNF-alpha 2 (plus 1 protocol)</w:t>
            </w:r>
          </w:p>
        </w:tc>
        <w:tc>
          <w:tcPr>
            <w:tcW w:type="dxa" w:w="360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Rose with grade and necrosis</w:t>
            </w:r>
            <w:r>
              <w:rPr>
                <w:rFonts w:ascii="Times New Roman" w:hAnsi="Times New Roman"/>
                <w:vertAlign w:val="superscript"/>
                <w:sz w:val="16"/>
              </w:rPr>
              <w:t>13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, peaked early after surgery</w:t>
            </w:r>
            <w:r>
              <w:rPr>
                <w:rFonts w:ascii="Times New Roman" w:hAnsi="Times New Roman"/>
                <w:vertAlign w:val="superscript"/>
                <w:sz w:val="16"/>
              </w:rPr>
              <w:t>14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, and were lower with dexmedetomidine and lidocaine</w:t>
            </w:r>
            <w:r>
              <w:rPr>
                <w:rFonts w:ascii="Times New Roman" w:hAnsi="Times New Roman"/>
                <w:vertAlign w:val="superscript"/>
                <w:sz w:val="16"/>
              </w:rPr>
              <w:t>6,7</w:t>
            </w:r>
          </w:p>
        </w:tc>
      </w:tr>
      <w:tr>
        <w:trPr>
          <w:cantSplit w:val="true"/>
        </w:trPr>
        <w:tc>
          <w:tcPr>
            <w:tcW w:type="dxa" w:w="101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VEGF</w:t>
            </w:r>
          </w:p>
        </w:tc>
        <w:tc>
          <w:tcPr>
            <w:tcW w:type="dxa" w:w="22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Endothelial mitogen and permeability inducer from tumor cells</w:t>
            </w:r>
          </w:p>
        </w:tc>
        <w:tc>
          <w:tcPr>
            <w:tcW w:type="dxa" w:w="157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Single tissue or CSF sample</w:t>
            </w:r>
          </w:p>
        </w:tc>
        <w:tc>
          <w:tcPr>
            <w:tcW w:type="dxa" w:w="90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60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Correlated with capillary permeability</w:t>
            </w:r>
            <w:r>
              <w:rPr>
                <w:rFonts w:ascii="Times New Roman" w:hAnsi="Times New Roman"/>
                <w:vertAlign w:val="superscript"/>
                <w:sz w:val="16"/>
              </w:rPr>
              <w:t>15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 xml:space="preserve"> and with IL-8</w:t>
            </w:r>
            <w:r>
              <w:rPr>
                <w:rFonts w:ascii="Times New Roman" w:hAnsi="Times New Roman"/>
                <w:vertAlign w:val="superscript"/>
                <w:sz w:val="16"/>
              </w:rPr>
              <w:t>13</w:t>
            </w:r>
          </w:p>
        </w:tc>
      </w:tr>
      <w:tr>
        <w:trPr>
          <w:cantSplit w:val="true"/>
        </w:trPr>
        <w:tc>
          <w:tcPr>
            <w:tcW w:type="dxa" w:w="101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CD45, CD68, CD163</w:t>
            </w:r>
          </w:p>
        </w:tc>
        <w:tc>
          <w:tcPr>
            <w:tcW w:type="dxa" w:w="225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Tissue markers of leukocytes, macrophages and microglia, and M2 macrophages</w:t>
            </w:r>
          </w:p>
        </w:tc>
        <w:tc>
          <w:tcPr>
            <w:tcW w:type="dxa" w:w="157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Single sample at resection</w:t>
            </w:r>
          </w:p>
        </w:tc>
        <w:tc>
          <w:tcPr>
            <w:tcW w:type="dxa" w:w="90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60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Macrophage-dominated infiltrate in glioblastoma</w:t>
            </w:r>
            <w:r>
              <w:rPr>
                <w:rFonts w:ascii="Times New Roman" w:hAnsi="Times New Roman"/>
                <w:vertAlign w:val="superscript"/>
                <w:sz w:val="16"/>
              </w:rPr>
              <w:t>16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 w:val="0"/>
          <w:i w:val="0"/>
          <w:sz w:val="16"/>
        </w:rPr>
        <w:t>IL, interleukin. TNF, tumor necrosis factor. VEGF, vascular endothelial growth factor. Marker interpretation follows the source studies.</w:t>
      </w:r>
    </w:p>
    <w:p>
      <w:pPr>
        <w:keepNext/>
        <w:spacing w:before="280"/>
      </w:pPr>
      <w:r>
        <w:rPr>
          <w:rFonts w:ascii="Times New Roman" w:hAnsi="Times New Roman" w:eastAsia="Times New Roman"/>
          <w:b/>
          <w:i w:val="0"/>
          <w:sz w:val="22"/>
        </w:rPr>
        <w:t>References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1.</w:t>
        <w:tab/>
        <w:t>Einav S, Shoshan Y, Ovadia H, et al. Early postoperative serum S100β levels predict ongoing brain damage after meningioma surgery: a prospective observational study. Crit Care. 2006;10:R141. DOI: 10.1186/cc5058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2.</w:t>
        <w:tab/>
        <w:t>Stranjalis G, Korfias S, Psachoulia C, et al. Serum S-100B as an indicator of early postoperative deterioration after meningioma surgery. Clin Chem. 2005;51:202-207. DOI: 10.1373/clinchem.2004.039719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3.</w:t>
        <w:tab/>
        <w:t>Mahajan C, Mishra RK, Jena BR, et al. Effect of magnesium and lignocaine on post-craniotomy pain: a comparative, randomized, double blind, placebo-controlled study. Saudi J Anaesth. 2019;13:299-305. DOI: 10.4103/sja.sja_837_18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4.</w:t>
        <w:tab/>
        <w:t>Mirrahimi B, Mortazavi A, Nouri M, et al. Effect of magnesium on functional outcome and paraclinical parameters of patients undergoing supratentorial craniotomy for brain tumors: a randomized controlled trial. Acta Neurochir (Wien). 2015;157:985-991. DOI: 10.1007/s00701-015-2376-x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5.</w:t>
        <w:tab/>
        <w:t>Lu ZH, Bai XG, Xiong LZ, et al. Effect of electroacupuncture preconditioning on serum S100β and NSE in patients undergoing craniocerebral tumor resection. Chin J Integr Med. 2010;16:229-233. DOI: 10.1007/s11655-010-0229-6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6.</w:t>
        <w:tab/>
        <w:t>Wu Z, Sun X, Wu Y, et al. Curve fitting algorithm-based contrast-enhanced ultrasound image for evaluating the effect of dexmedetomidine on neurological function in patients undergoing brain tumor surgery. Sci Program. 2022;2022:7717075. DOI: 10.1155/2022/7717075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7.</w:t>
        <w:tab/>
        <w:t>Zhao K, Dong Y, Su G, et al. Effect of systemic lidocaine on postoperative early recovery quality in patients undergoing supratentorial tumor resection. Drug Des Devel Ther. 2022;16:1171-1181. DOI: 10.2147/dddt.s359755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8.</w:t>
        <w:tab/>
        <w:t>Gracia I, Fàbregas N, Hurtado P, et al. Effect of perioperative magnesium sulfate on neurological outcome in neurosurgical patients: a randomized double-blind controlled trial. Minerva Anestesiol. 2025;91:45-57. DOI: 10.23736/s0375-9393.24.18401-5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9.</w:t>
        <w:tab/>
        <w:t>Tan C, Li M. Effects of ciprofol on hemodynamics and cerebral protection in patients undergoing meningioma resection. Medicine (Baltimore). 2025;104:e43386. DOI: 10.1097/md.0000000000043386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10.</w:t>
        <w:tab/>
        <w:t>Wu CY, Lin YS, Tseng HM, et al. Comparison of two stroke volume variation-based goal-directed fluid therapies for supratentorial brain tumour resection: a randomized controlled trial. Br J Anaesth. 2017;119:934-942. DOI: 10.1093/bja/aex189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11.</w:t>
        <w:tab/>
        <w:t>Michaëlsson I, Hallén T, Carstam L, et al. Circulating brain injury biomarkers: a novel method for quantification of the impact on the brain after tumor surgery. Neurosurgery. 2023;93:847-856. DOI: 10.1227/neu.0000000000002510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12.</w:t>
        <w:tab/>
        <w:t>Baumgarten P, Quick-Weller J, Gessler F, et al. Pre- and early postoperative GFAP serum levels in glioma and brain metastases. J Neurooncol. 2018;139:541-546. DOI: 10.1007/s11060-018-2898-1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13.</w:t>
        <w:tab/>
        <w:t>Piperi C, Samaras V, Levidou G, et al. Prognostic significance of IL-8-STAT-3 pathway in astrocytomas: correlation with IL-6, VEGF and microvessel morphometry. Cytokine. 2011;55:387-395. DOI: 10.1016/j.cyto.2011.05.012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14.</w:t>
        <w:tab/>
        <w:t>Portnow J, Badie B, Liu X, et al. A pilot microdialysis study in brain tumor patients to assess changes in intracerebral cytokine levels after craniotomy and in response to treatment with a targeted anti-cancer agent. J Neurooncol. 2014;118:169-177. DOI: 10.1007/s11060-014-1415-4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15.</w:t>
        <w:tab/>
        <w:t>Machein MR, Kullmer J, Fiebich BL, et al. Vascular endothelial growth factor expression, vascular volume, and capillary permeability in human brain tumors. Neurosurgery. 1999;44:732-740. DOI: 10.1097/00006123-199904000-00022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16.</w:t>
        <w:tab/>
        <w:t>Kemmerer CL, Schittenhelm J, Dubois E, et al. Cerebrospinal fluid cytokine levels are associated with macrophage infiltration into tumor tissues of glioma patients. BMC Cancer. 2021;21:1108. DOI: 10.1186/s12885-021-08825-1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="Times New Roman" w:hAnsi="Times New Roman" w:eastAsia="Times New Roman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="Times New Roman" w:hAnsi="Times New Roman" w:eastAsia="Times New Roman"/>
      <w:b/>
      <w:bCs/>
      <w:i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Digital Content 9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