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b/>
          <w:i w:val="0"/>
          <w:sz w:val="22"/>
        </w:rPr>
        <w:t>Supplemental Digital Content 6</w:t>
      </w:r>
    </w:p>
    <w:p>
      <w:pPr>
        <w:keepNext/>
        <w:spacing w:after="120"/>
      </w:pPr>
      <w:r>
        <w:rPr>
          <w:rFonts w:ascii="Times New Roman" w:hAnsi="Times New Roman" w:eastAsia="Times New Roman"/>
          <w:b/>
          <w:i w:val="0"/>
          <w:sz w:val="24"/>
        </w:rPr>
        <w:t xml:space="preserve">Table. </w:t>
      </w:r>
      <w:r>
        <w:rPr>
          <w:rFonts w:ascii="Times New Roman" w:hAnsi="Times New Roman" w:eastAsia="Times New Roman"/>
          <w:b w:val="0"/>
          <w:i w:val="0"/>
          <w:sz w:val="24"/>
        </w:rPr>
        <w:t>Characteristics of the 70 studies in the core evidence base, grouped by evidence stream and ordered by year within stream.</w:t>
      </w:r>
    </w:p>
    <w:tbl>
      <w:tblPr>
        <w:tblW w:type="auto" w:w="0"/>
        <w:tblLayout w:type="fixed"/>
        <w:tblLook w:firstColumn="1" w:firstRow="1" w:lastColumn="0" w:lastRow="0" w:noHBand="0" w:noVBand="1" w:val="04A0"/>
        <w:jc w:val="center"/>
        <w:tblBorders>
          <w:top w:val="single" w:sz="12" w:space="0" w:color="000000"/>
          <w:left w:val="nil"/>
          <w:bottom w:val="single" w:sz="12" w:space="0" w:color="000000"/>
          <w:right w:val="nil"/>
          <w:insideH w:val="single" w:sz="4" w:space="0" w:color="000000"/>
          <w:insideV w:val="nil"/>
        </w:tblBorders>
        <w:tblCellMar>
          <w:top w:w="40" w:type="dxa"/>
          <w:left w:w="70" w:type="dxa"/>
          <w:bottom w:w="40" w:type="dxa"/>
          <w:right w:w="70" w:type="dxa"/>
        </w:tblCellMar>
      </w:tblPr>
      <w:tblGrid>
        <w:gridCol w:w="1620"/>
        <w:gridCol w:w="1620"/>
        <w:gridCol w:w="1620"/>
        <w:gridCol w:w="1620"/>
        <w:gridCol w:w="1620"/>
        <w:gridCol w:w="1620"/>
        <w:gridCol w:w="1620"/>
        <w:gridCol w:w="1620"/>
      </w:tblGrid>
      <w:tr>
        <w:trPr>
          <w:tblHeader w:val="true"/>
        </w:trPr>
        <w:tc>
          <w:tcPr>
            <w:tcW w:type="dxa" w:w="1521"/>
            <w:tcBorders>
              <w:bottom w:val="single" w:sz="8" w:space="0" w:color="000000"/>
            </w:tcBorders>
          </w:tcPr>
          <w:p>
            <w:r>
              <w:rPr>
                <w:rFonts w:ascii="Times New Roman" w:hAnsi="Times New Roman" w:eastAsia="Times New Roman"/>
                <w:b/>
                <w:i w:val="0"/>
                <w:sz w:val="14"/>
              </w:rPr>
              <w:t>Study</w:t>
            </w:r>
          </w:p>
        </w:tc>
        <w:tc>
          <w:tcPr>
            <w:tcW w:type="dxa" w:w="926"/>
            <w:tcBorders>
              <w:bottom w:val="single" w:sz="8" w:space="0" w:color="000000"/>
            </w:tcBorders>
          </w:tcPr>
          <w:p>
            <w:r>
              <w:rPr>
                <w:rFonts w:ascii="Times New Roman" w:hAnsi="Times New Roman" w:eastAsia="Times New Roman"/>
                <w:b/>
                <w:i w:val="0"/>
                <w:sz w:val="14"/>
              </w:rPr>
              <w:t>Country</w:t>
            </w:r>
          </w:p>
        </w:tc>
        <w:tc>
          <w:tcPr>
            <w:tcW w:type="dxa" w:w="1190"/>
            <w:tcBorders>
              <w:bottom w:val="single" w:sz="8" w:space="0" w:color="000000"/>
            </w:tcBorders>
          </w:tcPr>
          <w:p>
            <w:r>
              <w:rPr>
                <w:rFonts w:ascii="Times New Roman" w:hAnsi="Times New Roman" w:eastAsia="Times New Roman"/>
                <w:b/>
                <w:i w:val="0"/>
                <w:sz w:val="14"/>
              </w:rPr>
              <w:t>Design</w:t>
            </w:r>
          </w:p>
        </w:tc>
        <w:tc>
          <w:tcPr>
            <w:tcW w:type="dxa" w:w="1653"/>
            <w:tcBorders>
              <w:bottom w:val="single" w:sz="8" w:space="0" w:color="000000"/>
            </w:tcBorders>
          </w:tcPr>
          <w:p>
            <w:r>
              <w:rPr>
                <w:rFonts w:ascii="Times New Roman" w:hAnsi="Times New Roman" w:eastAsia="Times New Roman"/>
                <w:b/>
                <w:i w:val="0"/>
                <w:sz w:val="14"/>
              </w:rPr>
              <w:t>Population</w:t>
            </w:r>
          </w:p>
        </w:tc>
        <w:tc>
          <w:tcPr>
            <w:tcW w:type="dxa" w:w="1653"/>
            <w:tcBorders>
              <w:bottom w:val="single" w:sz="8" w:space="0" w:color="000000"/>
            </w:tcBorders>
          </w:tcPr>
          <w:p>
            <w:r>
              <w:rPr>
                <w:rFonts w:ascii="Times New Roman" w:hAnsi="Times New Roman" w:eastAsia="Times New Roman"/>
                <w:b/>
                <w:i w:val="0"/>
                <w:sz w:val="14"/>
              </w:rPr>
              <w:t>Surgical context or intervention</w:t>
            </w:r>
          </w:p>
        </w:tc>
        <w:tc>
          <w:tcPr>
            <w:tcW w:type="dxa" w:w="4100"/>
            <w:tcBorders>
              <w:bottom w:val="single" w:sz="8" w:space="0" w:color="000000"/>
            </w:tcBorders>
          </w:tcPr>
          <w:p>
            <w:r>
              <w:rPr>
                <w:rFonts w:ascii="Times New Roman" w:hAnsi="Times New Roman" w:eastAsia="Times New Roman"/>
                <w:b/>
                <w:i w:val="0"/>
                <w:sz w:val="14"/>
              </w:rPr>
              <w:t>Main findings</w:t>
            </w:r>
          </w:p>
        </w:tc>
        <w:tc>
          <w:tcPr>
            <w:tcW w:type="dxa" w:w="1322"/>
            <w:tcBorders>
              <w:bottom w:val="single" w:sz="8" w:space="0" w:color="000000"/>
            </w:tcBorders>
          </w:tcPr>
          <w:p>
            <w:r>
              <w:rPr>
                <w:rFonts w:ascii="Times New Roman" w:hAnsi="Times New Roman" w:eastAsia="Times New Roman"/>
                <w:b/>
                <w:i w:val="0"/>
                <w:sz w:val="14"/>
              </w:rPr>
              <w:t>Domains</w:t>
            </w:r>
          </w:p>
        </w:tc>
        <w:tc>
          <w:tcPr>
            <w:tcW w:type="dxa" w:w="595"/>
            <w:tcBorders>
              <w:bottom w:val="single" w:sz="8" w:space="0" w:color="000000"/>
            </w:tcBorders>
          </w:tcPr>
          <w:p>
            <w:r>
              <w:rPr>
                <w:rFonts w:ascii="Times New Roman" w:hAnsi="Times New Roman" w:eastAsia="Times New Roman"/>
                <w:b/>
                <w:i w:val="0"/>
                <w:sz w:val="14"/>
              </w:rPr>
              <w:t>Level</w:t>
            </w:r>
          </w:p>
        </w:tc>
      </w:tr>
      <w:tr>
        <w:trPr>
          <w:cantSplit w:val="true"/>
        </w:trPr>
        <w:tc>
          <w:tcPr>
            <w:tcW w:type="dxa" w:w="12960"/>
            <w:gridSpan w:val="8"/>
          </w:tcPr>
          <w:p>
            <w:pPr>
              <w:keepNext/>
            </w:pPr>
            <w:r>
              <w:rPr>
                <w:rFonts w:ascii="Times New Roman" w:hAnsi="Times New Roman" w:eastAsia="Times New Roman"/>
                <w:b/>
                <w:i/>
                <w:sz w:val="15"/>
              </w:rPr>
              <w:t>Tumor biology, microenvironment, and blood-brain barrier (n = 8)</w:t>
            </w:r>
          </w:p>
        </w:tc>
      </w:tr>
      <w:tr>
        <w:trPr>
          <w:cantSplit w:val="true"/>
        </w:trPr>
        <w:tc>
          <w:tcPr>
            <w:tcW w:type="dxa" w:w="1521"/>
          </w:tcPr>
          <w:p>
            <w:r>
              <w:rPr>
                <w:rFonts w:ascii="Times New Roman" w:hAnsi="Times New Roman" w:eastAsia="Times New Roman"/>
                <w:b w:val="0"/>
                <w:i w:val="0"/>
                <w:sz w:val="14"/>
              </w:rPr>
              <w:t>Stewart, 1987</w:t>
            </w:r>
            <w:r>
              <w:rPr>
                <w:rFonts w:ascii="Times New Roman" w:hAnsi="Times New Roman"/>
                <w:vertAlign w:val="superscript"/>
                <w:sz w:val="14"/>
              </w:rPr>
              <w:t>1</w:t>
            </w:r>
          </w:p>
        </w:tc>
        <w:tc>
          <w:tcPr>
            <w:tcW w:type="dxa" w:w="926"/>
          </w:tcPr>
          <w:p>
            <w:r>
              <w:rPr>
                <w:rFonts w:ascii="Times New Roman" w:hAnsi="Times New Roman" w:eastAsia="Times New Roman"/>
                <w:b w:val="0"/>
                <w:i w:val="0"/>
                <w:sz w:val="14"/>
              </w:rPr>
              <w:t>Canada</w:t>
            </w:r>
          </w:p>
        </w:tc>
        <w:tc>
          <w:tcPr>
            <w:tcW w:type="dxa" w:w="1190"/>
          </w:tcPr>
          <w:p>
            <w:r>
              <w:rPr>
                <w:rFonts w:ascii="Times New Roman" w:hAnsi="Times New Roman" w:eastAsia="Times New Roman"/>
                <w:b w:val="0"/>
                <w:i w:val="0"/>
                <w:sz w:val="14"/>
              </w:rPr>
              <w:t>Mechanistic laboratory study</w:t>
            </w:r>
          </w:p>
        </w:tc>
        <w:tc>
          <w:tcPr>
            <w:tcW w:type="dxa" w:w="1653"/>
          </w:tcPr>
          <w:p>
            <w:r>
              <w:rPr>
                <w:rFonts w:ascii="Times New Roman" w:hAnsi="Times New Roman" w:eastAsia="Times New Roman"/>
                <w:b w:val="0"/>
                <w:i w:val="0"/>
                <w:sz w:val="14"/>
              </w:rPr>
              <w:t>Glial tumors, n = 13</w:t>
            </w:r>
          </w:p>
        </w:tc>
        <w:tc>
          <w:tcPr>
            <w:tcW w:type="dxa" w:w="1653"/>
          </w:tcPr>
          <w:p>
            <w:r>
              <w:rPr>
                <w:rFonts w:ascii="Times New Roman" w:hAnsi="Times New Roman" w:eastAsia="Times New Roman"/>
                <w:b w:val="0"/>
                <w:i w:val="0"/>
                <w:sz w:val="14"/>
              </w:rPr>
              <w:t>Lobectomy specimens, electron microscopy</w:t>
            </w:r>
          </w:p>
        </w:tc>
        <w:tc>
          <w:tcPr>
            <w:tcW w:type="dxa" w:w="4100"/>
          </w:tcPr>
          <w:p>
            <w:r>
              <w:rPr>
                <w:rFonts w:ascii="Times New Roman" w:hAnsi="Times New Roman" w:eastAsia="Times New Roman"/>
                <w:b w:val="0"/>
                <w:i w:val="0"/>
                <w:sz w:val="14"/>
              </w:rPr>
              <w:t>Peritumoral vessels had longer junctional clefts and more endothelial vesicles than normal vessels (p &lt; .02 to .03), a structural barrier defect.</w:t>
            </w:r>
          </w:p>
        </w:tc>
        <w:tc>
          <w:tcPr>
            <w:tcW w:type="dxa" w:w="1322"/>
          </w:tcPr>
          <w:p>
            <w:r>
              <w:rPr>
                <w:rFonts w:ascii="Times New Roman" w:hAnsi="Times New Roman" w:eastAsia="Times New Roman"/>
                <w:b w:val="0"/>
                <w:i w:val="0"/>
                <w:sz w:val="14"/>
              </w:rPr>
              <w:t>Tumor biology</w:t>
            </w:r>
          </w:p>
        </w:tc>
        <w:tc>
          <w:tcPr>
            <w:tcW w:type="dxa" w:w="595"/>
          </w:tcPr>
          <w:p>
            <w:r>
              <w:rPr>
                <w:rFonts w:ascii="Times New Roman" w:hAnsi="Times New Roman" w:eastAsia="Times New Roman"/>
                <w:b w:val="0"/>
                <w:i w:val="0"/>
                <w:sz w:val="14"/>
              </w:rPr>
              <w:t>5</w:t>
            </w:r>
          </w:p>
        </w:tc>
      </w:tr>
      <w:tr>
        <w:trPr>
          <w:cantSplit w:val="true"/>
        </w:trPr>
        <w:tc>
          <w:tcPr>
            <w:tcW w:type="dxa" w:w="1521"/>
          </w:tcPr>
          <w:p>
            <w:r>
              <w:rPr>
                <w:rFonts w:ascii="Times New Roman" w:hAnsi="Times New Roman" w:eastAsia="Times New Roman"/>
                <w:b w:val="0"/>
                <w:i w:val="0"/>
                <w:sz w:val="14"/>
              </w:rPr>
              <w:t>Machein, 1999</w:t>
            </w:r>
            <w:r>
              <w:rPr>
                <w:rFonts w:ascii="Times New Roman" w:hAnsi="Times New Roman"/>
                <w:vertAlign w:val="superscript"/>
                <w:sz w:val="14"/>
              </w:rPr>
              <w:t>2</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Mechanistic laboratory study</w:t>
            </w:r>
          </w:p>
        </w:tc>
        <w:tc>
          <w:tcPr>
            <w:tcW w:type="dxa" w:w="1653"/>
          </w:tcPr>
          <w:p>
            <w:r>
              <w:rPr>
                <w:rFonts w:ascii="Times New Roman" w:hAnsi="Times New Roman" w:eastAsia="Times New Roman"/>
                <w:b w:val="0"/>
                <w:i w:val="0"/>
                <w:sz w:val="14"/>
              </w:rPr>
              <w:t>Glial tumors n = 11, lymphoma n = 3</w:t>
            </w:r>
          </w:p>
        </w:tc>
        <w:tc>
          <w:tcPr>
            <w:tcW w:type="dxa" w:w="1653"/>
          </w:tcPr>
          <w:p>
            <w:r>
              <w:rPr>
                <w:rFonts w:ascii="Times New Roman" w:hAnsi="Times New Roman" w:eastAsia="Times New Roman"/>
                <w:b w:val="0"/>
                <w:i w:val="0"/>
                <w:sz w:val="14"/>
              </w:rPr>
              <w:t>Stereotactic biopsy</w:t>
            </w:r>
          </w:p>
        </w:tc>
        <w:tc>
          <w:tcPr>
            <w:tcW w:type="dxa" w:w="4100"/>
          </w:tcPr>
          <w:p>
            <w:r>
              <w:rPr>
                <w:rFonts w:ascii="Times New Roman" w:hAnsi="Times New Roman" w:eastAsia="Times New Roman"/>
                <w:b w:val="0"/>
                <w:i w:val="0"/>
                <w:sz w:val="14"/>
              </w:rPr>
              <w:t>VEGF mRNA correlated with capillary permeability (r = 0.667, p = .015) and plasma vascular volume (r = 0.778, p = .0017) in glial tumors.</w:t>
            </w:r>
          </w:p>
        </w:tc>
        <w:tc>
          <w:tcPr>
            <w:tcW w:type="dxa" w:w="1322"/>
          </w:tcPr>
          <w:p>
            <w:r>
              <w:rPr>
                <w:rFonts w:ascii="Times New Roman" w:hAnsi="Times New Roman" w:eastAsia="Times New Roman"/>
                <w:b w:val="0"/>
                <w:i w:val="0"/>
                <w:sz w:val="14"/>
              </w:rPr>
              <w:t>Inflammatory marker, Imaging, Tumor biology</w:t>
            </w:r>
          </w:p>
        </w:tc>
        <w:tc>
          <w:tcPr>
            <w:tcW w:type="dxa" w:w="595"/>
          </w:tcPr>
          <w:p>
            <w:r>
              <w:rPr>
                <w:rFonts w:ascii="Times New Roman" w:hAnsi="Times New Roman" w:eastAsia="Times New Roman"/>
                <w:b w:val="0"/>
                <w:i w:val="0"/>
                <w:sz w:val="14"/>
              </w:rPr>
              <w:t>5</w:t>
            </w:r>
          </w:p>
        </w:tc>
      </w:tr>
      <w:tr>
        <w:trPr>
          <w:cantSplit w:val="true"/>
        </w:trPr>
        <w:tc>
          <w:tcPr>
            <w:tcW w:type="dxa" w:w="1521"/>
          </w:tcPr>
          <w:p>
            <w:r>
              <w:rPr>
                <w:rFonts w:ascii="Times New Roman" w:hAnsi="Times New Roman" w:eastAsia="Times New Roman"/>
                <w:b w:val="0"/>
                <w:i w:val="0"/>
                <w:sz w:val="14"/>
              </w:rPr>
              <w:t>Law, 2004</w:t>
            </w:r>
            <w:r>
              <w:rPr>
                <w:rFonts w:ascii="Times New Roman" w:hAnsi="Times New Roman"/>
                <w:vertAlign w:val="superscript"/>
                <w:sz w:val="14"/>
              </w:rPr>
              <w:t>3</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Primary glioma, n = 73</w:t>
            </w:r>
          </w:p>
        </w:tc>
        <w:tc>
          <w:tcPr>
            <w:tcW w:type="dxa" w:w="1653"/>
          </w:tcPr>
          <w:p>
            <w:r>
              <w:rPr>
                <w:rFonts w:ascii="Times New Roman" w:hAnsi="Times New Roman" w:eastAsia="Times New Roman"/>
                <w:b w:val="0"/>
                <w:i w:val="0"/>
                <w:sz w:val="14"/>
              </w:rPr>
              <w:t>Preoperative imaging, biopsy alone in 16</w:t>
            </w:r>
          </w:p>
        </w:tc>
        <w:tc>
          <w:tcPr>
            <w:tcW w:type="dxa" w:w="4100"/>
          </w:tcPr>
          <w:p>
            <w:r>
              <w:rPr>
                <w:rFonts w:ascii="Times New Roman" w:hAnsi="Times New Roman" w:eastAsia="Times New Roman"/>
                <w:b w:val="0"/>
                <w:i w:val="0"/>
                <w:sz w:val="14"/>
              </w:rPr>
              <w:t>rCBV tracked tumor grade (Spearman r = .817). Ktrans separated only grade I from grades II and III (p = .027).</w:t>
            </w:r>
          </w:p>
        </w:tc>
        <w:tc>
          <w:tcPr>
            <w:tcW w:type="dxa" w:w="1322"/>
          </w:tcPr>
          <w:p>
            <w:r>
              <w:rPr>
                <w:rFonts w:ascii="Times New Roman" w:hAnsi="Times New Roman" w:eastAsia="Times New Roman"/>
                <w:b w:val="0"/>
                <w:i w:val="0"/>
                <w:sz w:val="14"/>
              </w:rPr>
              <w:t>Imaging, Tumor biology</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Cha, 2006</w:t>
            </w:r>
            <w:r>
              <w:rPr>
                <w:rFonts w:ascii="Times New Roman" w:hAnsi="Times New Roman"/>
                <w:vertAlign w:val="superscript"/>
                <w:sz w:val="14"/>
              </w:rPr>
              <w:t>4</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 = 20, meningioma n = 7</w:t>
            </w:r>
          </w:p>
        </w:tc>
        <w:tc>
          <w:tcPr>
            <w:tcW w:type="dxa" w:w="1653"/>
          </w:tcPr>
          <w:p>
            <w:r>
              <w:rPr>
                <w:rFonts w:ascii="Times New Roman" w:hAnsi="Times New Roman" w:eastAsia="Times New Roman"/>
                <w:b w:val="0"/>
                <w:i w:val="0"/>
                <w:sz w:val="14"/>
              </w:rPr>
              <w:t>Preoperative dynamic contrast MRI before resection</w:t>
            </w:r>
          </w:p>
        </w:tc>
        <w:tc>
          <w:tcPr>
            <w:tcW w:type="dxa" w:w="4100"/>
          </w:tcPr>
          <w:p>
            <w:r>
              <w:rPr>
                <w:rFonts w:ascii="Times New Roman" w:hAnsi="Times New Roman" w:eastAsia="Times New Roman"/>
                <w:b w:val="0"/>
                <w:i w:val="0"/>
                <w:sz w:val="14"/>
              </w:rPr>
              <w:t>Ktrans from two methods separated grade IV from lower grades. The two methods agreed in gliomas (r = .95) but not in meningiomas (r = .16).</w:t>
            </w:r>
          </w:p>
        </w:tc>
        <w:tc>
          <w:tcPr>
            <w:tcW w:type="dxa" w:w="1322"/>
          </w:tcPr>
          <w:p>
            <w:r>
              <w:rPr>
                <w:rFonts w:ascii="Times New Roman" w:hAnsi="Times New Roman" w:eastAsia="Times New Roman"/>
                <w:b w:val="0"/>
                <w:i w:val="0"/>
                <w:sz w:val="14"/>
              </w:rPr>
              <w:t>Imaging, Tumor biology</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Piperi, 2011</w:t>
            </w:r>
            <w:r>
              <w:rPr>
                <w:rFonts w:ascii="Times New Roman" w:hAnsi="Times New Roman"/>
                <w:vertAlign w:val="superscript"/>
                <w:sz w:val="14"/>
              </w:rPr>
              <w:t>5</w:t>
            </w:r>
          </w:p>
        </w:tc>
        <w:tc>
          <w:tcPr>
            <w:tcW w:type="dxa" w:w="926"/>
          </w:tcPr>
          <w:p>
            <w:r>
              <w:rPr>
                <w:rFonts w:ascii="Times New Roman" w:hAnsi="Times New Roman" w:eastAsia="Times New Roman"/>
                <w:b w:val="0"/>
                <w:i w:val="0"/>
                <w:sz w:val="14"/>
              </w:rPr>
              <w:t>Greece</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Astrocytoma grade II to IV, n = 97</w:t>
            </w:r>
          </w:p>
        </w:tc>
        <w:tc>
          <w:tcPr>
            <w:tcW w:type="dxa" w:w="1653"/>
          </w:tcPr>
          <w:p>
            <w:r>
              <w:rPr>
                <w:rFonts w:ascii="Times New Roman" w:hAnsi="Times New Roman" w:eastAsia="Times New Roman"/>
                <w:b w:val="0"/>
                <w:i w:val="0"/>
                <w:sz w:val="14"/>
              </w:rPr>
              <w:t>Resection, archival tissue</w:t>
            </w:r>
          </w:p>
        </w:tc>
        <w:tc>
          <w:tcPr>
            <w:tcW w:type="dxa" w:w="4100"/>
          </w:tcPr>
          <w:p>
            <w:r>
              <w:rPr>
                <w:rFonts w:ascii="Times New Roman" w:hAnsi="Times New Roman" w:eastAsia="Times New Roman"/>
                <w:b w:val="0"/>
                <w:i w:val="0"/>
                <w:sz w:val="14"/>
              </w:rPr>
              <w:t>IL-8 and IL-6 expression rose with grade and necrosis (p &lt; .05). IL-8 correlated with VEGF (r = .475) and independently predicted survival (p = .043).</w:t>
            </w:r>
          </w:p>
        </w:tc>
        <w:tc>
          <w:tcPr>
            <w:tcW w:type="dxa" w:w="1322"/>
          </w:tcPr>
          <w:p>
            <w:r>
              <w:rPr>
                <w:rFonts w:ascii="Times New Roman" w:hAnsi="Times New Roman" w:eastAsia="Times New Roman"/>
                <w:b w:val="0"/>
                <w:i w:val="0"/>
                <w:sz w:val="14"/>
              </w:rPr>
              <w:t>Inflammatory marker, Tumor biology</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Portnow, 2014</w:t>
            </w:r>
            <w:r>
              <w:rPr>
                <w:rFonts w:ascii="Times New Roman" w:hAnsi="Times New Roman"/>
                <w:vertAlign w:val="superscript"/>
                <w:sz w:val="14"/>
              </w:rPr>
              <w:t>6</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Primary or metastatic brain tumors, n = 10 with dialysate</w:t>
            </w:r>
          </w:p>
        </w:tc>
        <w:tc>
          <w:tcPr>
            <w:tcW w:type="dxa" w:w="1653"/>
          </w:tcPr>
          <w:p>
            <w:r>
              <w:rPr>
                <w:rFonts w:ascii="Times New Roman" w:hAnsi="Times New Roman" w:eastAsia="Times New Roman"/>
                <w:b w:val="0"/>
                <w:i w:val="0"/>
                <w:sz w:val="14"/>
              </w:rPr>
              <w:t>Craniotomy with peritumoral microdialysis</w:t>
            </w:r>
          </w:p>
        </w:tc>
        <w:tc>
          <w:tcPr>
            <w:tcW w:type="dxa" w:w="4100"/>
          </w:tcPr>
          <w:p>
            <w:r>
              <w:rPr>
                <w:rFonts w:ascii="Times New Roman" w:hAnsi="Times New Roman" w:eastAsia="Times New Roman"/>
                <w:b w:val="0"/>
                <w:i w:val="0"/>
                <w:sz w:val="14"/>
              </w:rPr>
              <w:t>Most cytokines peaked within 8 h after surgery and fell over 96 h (11 of 17 with significant decline). Intracerebral levels exceeded serum levels. No temsirolimus effect.</w:t>
            </w:r>
          </w:p>
        </w:tc>
        <w:tc>
          <w:tcPr>
            <w:tcW w:type="dxa" w:w="1322"/>
          </w:tcPr>
          <w:p>
            <w:r>
              <w:rPr>
                <w:rFonts w:ascii="Times New Roman" w:hAnsi="Times New Roman" w:eastAsia="Times New Roman"/>
                <w:b w:val="0"/>
                <w:i w:val="0"/>
                <w:sz w:val="14"/>
              </w:rPr>
              <w:t>Inflammatory marker, Tumor biology</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Kemmerer, 2021</w:t>
            </w:r>
            <w:r>
              <w:rPr>
                <w:rFonts w:ascii="Times New Roman" w:hAnsi="Times New Roman"/>
                <w:vertAlign w:val="superscript"/>
                <w:sz w:val="14"/>
              </w:rPr>
              <w:t>7</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Case-control</w:t>
            </w:r>
          </w:p>
        </w:tc>
        <w:tc>
          <w:tcPr>
            <w:tcW w:type="dxa" w:w="1653"/>
          </w:tcPr>
          <w:p>
            <w:r>
              <w:rPr>
                <w:rFonts w:ascii="Times New Roman" w:hAnsi="Times New Roman" w:eastAsia="Times New Roman"/>
                <w:b w:val="0"/>
                <w:i w:val="0"/>
                <w:sz w:val="14"/>
              </w:rPr>
              <w:t>High-grade glioma, n = 18, controls n = 14</w:t>
            </w:r>
          </w:p>
        </w:tc>
        <w:tc>
          <w:tcPr>
            <w:tcW w:type="dxa" w:w="1653"/>
          </w:tcPr>
          <w:p>
            <w:r>
              <w:rPr>
                <w:rFonts w:ascii="Times New Roman" w:hAnsi="Times New Roman" w:eastAsia="Times New Roman"/>
                <w:b w:val="0"/>
                <w:i w:val="0"/>
                <w:sz w:val="14"/>
              </w:rPr>
              <w:t>Resection, tissue and CSF before adjuvant therapy</w:t>
            </w:r>
          </w:p>
        </w:tc>
        <w:tc>
          <w:tcPr>
            <w:tcW w:type="dxa" w:w="4100"/>
          </w:tcPr>
          <w:p>
            <w:r>
              <w:rPr>
                <w:rFonts w:ascii="Times New Roman" w:hAnsi="Times New Roman" w:eastAsia="Times New Roman"/>
                <w:b w:val="0"/>
                <w:i w:val="0"/>
                <w:sz w:val="14"/>
              </w:rPr>
              <w:t>CD68+ macrophages (19% to 27%) outnumbered CD45+ leukocytes (3% to 7%). CSF IL-7 was lower in glioblastoma (p = .009). CD68+ infiltration correlated negatively with several cytokines (p &lt; .01).</w:t>
            </w:r>
          </w:p>
        </w:tc>
        <w:tc>
          <w:tcPr>
            <w:tcW w:type="dxa" w:w="1322"/>
          </w:tcPr>
          <w:p>
            <w:r>
              <w:rPr>
                <w:rFonts w:ascii="Times New Roman" w:hAnsi="Times New Roman" w:eastAsia="Times New Roman"/>
                <w:b w:val="0"/>
                <w:i w:val="0"/>
                <w:sz w:val="14"/>
              </w:rPr>
              <w:t>Inflammatory marker, Tumor biology</w:t>
            </w:r>
          </w:p>
        </w:tc>
        <w:tc>
          <w:tcPr>
            <w:tcW w:type="dxa" w:w="595"/>
          </w:tcPr>
          <w:p>
            <w:r>
              <w:rPr>
                <w:rFonts w:ascii="Times New Roman" w:hAnsi="Times New Roman" w:eastAsia="Times New Roman"/>
                <w:b w:val="0"/>
                <w:i w:val="0"/>
                <w:sz w:val="14"/>
              </w:rPr>
              <w:t>4</w:t>
            </w:r>
          </w:p>
        </w:tc>
      </w:tr>
      <w:tr>
        <w:trPr>
          <w:cantSplit w:val="true"/>
        </w:trPr>
        <w:tc>
          <w:tcPr>
            <w:tcW w:type="dxa" w:w="1521"/>
          </w:tcPr>
          <w:p>
            <w:r>
              <w:rPr>
                <w:rFonts w:ascii="Times New Roman" w:hAnsi="Times New Roman" w:eastAsia="Times New Roman"/>
                <w:b w:val="0"/>
                <w:i w:val="0"/>
                <w:sz w:val="14"/>
              </w:rPr>
              <w:t>Grossman, 2025</w:t>
            </w:r>
            <w:r>
              <w:rPr>
                <w:rFonts w:ascii="Times New Roman" w:hAnsi="Times New Roman"/>
                <w:vertAlign w:val="superscript"/>
                <w:sz w:val="14"/>
              </w:rPr>
              <w:t>8</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Non-randomized pilot trial</w:t>
            </w:r>
          </w:p>
        </w:tc>
        <w:tc>
          <w:tcPr>
            <w:tcW w:type="dxa" w:w="1653"/>
          </w:tcPr>
          <w:p>
            <w:r>
              <w:rPr>
                <w:rFonts w:ascii="Times New Roman" w:hAnsi="Times New Roman" w:eastAsia="Times New Roman"/>
                <w:b w:val="0"/>
                <w:i w:val="0"/>
                <w:sz w:val="14"/>
              </w:rPr>
              <w:t>Low-grade glioma, n = 7</w:t>
            </w:r>
          </w:p>
        </w:tc>
        <w:tc>
          <w:tcPr>
            <w:tcW w:type="dxa" w:w="1653"/>
          </w:tcPr>
          <w:p>
            <w:r>
              <w:rPr>
                <w:rFonts w:ascii="Times New Roman" w:hAnsi="Times New Roman" w:eastAsia="Times New Roman"/>
                <w:b w:val="0"/>
                <w:i w:val="0"/>
                <w:sz w:val="14"/>
              </w:rPr>
              <w:t>Regadenoson dose escalation, no resection</w:t>
            </w:r>
          </w:p>
        </w:tc>
        <w:tc>
          <w:tcPr>
            <w:tcW w:type="dxa" w:w="4100"/>
          </w:tcPr>
          <w:p>
            <w:r>
              <w:rPr>
                <w:rFonts w:ascii="Times New Roman" w:hAnsi="Times New Roman" w:eastAsia="Times New Roman"/>
                <w:b w:val="0"/>
                <w:i w:val="0"/>
                <w:sz w:val="14"/>
              </w:rPr>
              <w:t>Blood-brain barrier endpoint (Ktrans &gt; 0.04 min-1) not met at any dose. T1 subtraction signal in normal-appearing white matter rose 74.0% (p = .0163). Trial closed early.</w:t>
            </w:r>
          </w:p>
        </w:tc>
        <w:tc>
          <w:tcPr>
            <w:tcW w:type="dxa" w:w="1322"/>
          </w:tcPr>
          <w:p>
            <w:r>
              <w:rPr>
                <w:rFonts w:ascii="Times New Roman" w:hAnsi="Times New Roman" w:eastAsia="Times New Roman"/>
                <w:b w:val="0"/>
                <w:i w:val="0"/>
                <w:sz w:val="14"/>
              </w:rPr>
              <w:t>Imaging, Tumor biology</w:t>
            </w:r>
          </w:p>
        </w:tc>
        <w:tc>
          <w:tcPr>
            <w:tcW w:type="dxa" w:w="595"/>
          </w:tcPr>
          <w:p>
            <w:r>
              <w:rPr>
                <w:rFonts w:ascii="Times New Roman" w:hAnsi="Times New Roman" w:eastAsia="Times New Roman"/>
                <w:b w:val="0"/>
                <w:i w:val="0"/>
                <w:sz w:val="14"/>
              </w:rPr>
              <w:t>4</w:t>
            </w:r>
          </w:p>
        </w:tc>
      </w:tr>
      <w:tr>
        <w:trPr>
          <w:cantSplit w:val="true"/>
        </w:trPr>
        <w:tc>
          <w:tcPr>
            <w:tcW w:type="dxa" w:w="12960"/>
            <w:gridSpan w:val="8"/>
          </w:tcPr>
          <w:p>
            <w:pPr>
              <w:keepNext/>
            </w:pPr>
            <w:r>
              <w:rPr>
                <w:rFonts w:ascii="Times New Roman" w:hAnsi="Times New Roman" w:eastAsia="Times New Roman"/>
                <w:b/>
                <w:i/>
                <w:sz w:val="15"/>
              </w:rPr>
              <w:t>Systemic frailty indices and perioperative risk (n = 5)</w:t>
            </w:r>
          </w:p>
        </w:tc>
      </w:tr>
      <w:tr>
        <w:trPr>
          <w:cantSplit w:val="true"/>
        </w:trPr>
        <w:tc>
          <w:tcPr>
            <w:tcW w:type="dxa" w:w="1521"/>
          </w:tcPr>
          <w:p>
            <w:r>
              <w:rPr>
                <w:rFonts w:ascii="Times New Roman" w:hAnsi="Times New Roman" w:eastAsia="Times New Roman"/>
                <w:b w:val="0"/>
                <w:i w:val="0"/>
                <w:sz w:val="14"/>
              </w:rPr>
              <w:t>Sastry, 2020</w:t>
            </w:r>
            <w:r>
              <w:rPr>
                <w:rFonts w:ascii="Times New Roman" w:hAnsi="Times New Roman"/>
                <w:vertAlign w:val="superscript"/>
                <w:sz w:val="14"/>
              </w:rPr>
              <w:t>9</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Registry cohort</w:t>
            </w:r>
          </w:p>
        </w:tc>
        <w:tc>
          <w:tcPr>
            <w:tcW w:type="dxa" w:w="1653"/>
          </w:tcPr>
          <w:p>
            <w:r>
              <w:rPr>
                <w:rFonts w:ascii="Times New Roman" w:hAnsi="Times New Roman" w:eastAsia="Times New Roman"/>
                <w:b w:val="0"/>
                <w:i w:val="0"/>
                <w:sz w:val="14"/>
              </w:rPr>
              <w:t>Intracranial tumors, n = 20,333</w:t>
            </w:r>
          </w:p>
        </w:tc>
        <w:tc>
          <w:tcPr>
            <w:tcW w:type="dxa" w:w="1653"/>
          </w:tcPr>
          <w:p>
            <w:r>
              <w:rPr>
                <w:rFonts w:ascii="Times New Roman" w:hAnsi="Times New Roman" w:eastAsia="Times New Roman"/>
                <w:b w:val="0"/>
                <w:i w:val="0"/>
                <w:sz w:val="14"/>
              </w:rPr>
              <w:t>Elective craniotomy (ACS NSQIP)</w:t>
            </w:r>
          </w:p>
        </w:tc>
        <w:tc>
          <w:tcPr>
            <w:tcW w:type="dxa" w:w="4100"/>
          </w:tcPr>
          <w:p>
            <w:r>
              <w:rPr>
                <w:rFonts w:ascii="Times New Roman" w:hAnsi="Times New Roman" w:eastAsia="Times New Roman"/>
                <w:b w:val="0"/>
                <w:i w:val="0"/>
                <w:sz w:val="14"/>
              </w:rPr>
              <w:t>Low and medium-to-high mFI-5 raised odds of major complication (OR 1.41, 1.61) and 30-day mortality (OR 1.87, 2.42), all p &lt; .001.</w:t>
            </w:r>
          </w:p>
        </w:tc>
        <w:tc>
          <w:tcPr>
            <w:tcW w:type="dxa" w:w="1322"/>
          </w:tcPr>
          <w:p>
            <w:r>
              <w:rPr>
                <w:rFonts w:ascii="Times New Roman" w:hAnsi="Times New Roman" w:eastAsia="Times New Roman"/>
                <w:b w:val="0"/>
                <w:i w:val="0"/>
                <w:sz w:val="14"/>
              </w:rPr>
              <w:t>Frailty index, Neurological or functional</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Harland, 2020</w:t>
            </w:r>
            <w:r>
              <w:rPr>
                <w:rFonts w:ascii="Times New Roman" w:hAnsi="Times New Roman"/>
                <w:vertAlign w:val="superscript"/>
                <w:sz w:val="14"/>
              </w:rPr>
              <w:t>10</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Brain tumors, n = 260</w:t>
            </w:r>
          </w:p>
        </w:tc>
        <w:tc>
          <w:tcPr>
            <w:tcW w:type="dxa" w:w="1653"/>
          </w:tcPr>
          <w:p>
            <w:r>
              <w:rPr>
                <w:rFonts w:ascii="Times New Roman" w:hAnsi="Times New Roman" w:eastAsia="Times New Roman"/>
                <w:b w:val="0"/>
                <w:i w:val="0"/>
                <w:sz w:val="14"/>
              </w:rPr>
              <w:t>Elective craniotomy</w:t>
            </w:r>
          </w:p>
        </w:tc>
        <w:tc>
          <w:tcPr>
            <w:tcW w:type="dxa" w:w="4100"/>
          </w:tcPr>
          <w:p>
            <w:r>
              <w:rPr>
                <w:rFonts w:ascii="Times New Roman" w:hAnsi="Times New Roman" w:eastAsia="Times New Roman"/>
                <w:b w:val="0"/>
                <w:i w:val="0"/>
                <w:sz w:val="14"/>
              </w:rPr>
              <w:t>Frailty raised odds of non-home discharge (OR 10.36, 95% CI 3.6 to 30.1) and of any complication (OR 2.09). Slow walking speed was the most predictive item.</w:t>
            </w:r>
          </w:p>
        </w:tc>
        <w:tc>
          <w:tcPr>
            <w:tcW w:type="dxa" w:w="1322"/>
          </w:tcPr>
          <w:p>
            <w:r>
              <w:rPr>
                <w:rFonts w:ascii="Times New Roman" w:hAnsi="Times New Roman" w:eastAsia="Times New Roman"/>
                <w:b w:val="0"/>
                <w:i w:val="0"/>
                <w:sz w:val="14"/>
              </w:rPr>
              <w:t>Frailty index,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Wang, 2021</w:t>
            </w:r>
            <w:r>
              <w:rPr>
                <w:rFonts w:ascii="Times New Roman" w:hAnsi="Times New Roman"/>
                <w:vertAlign w:val="superscript"/>
                <w:sz w:val="14"/>
              </w:rPr>
              <w:t>11</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Intracranial tumors, n = 659</w:t>
            </w:r>
          </w:p>
        </w:tc>
        <w:tc>
          <w:tcPr>
            <w:tcW w:type="dxa" w:w="1653"/>
          </w:tcPr>
          <w:p>
            <w:r>
              <w:rPr>
                <w:rFonts w:ascii="Times New Roman" w:hAnsi="Times New Roman" w:eastAsia="Times New Roman"/>
                <w:b w:val="0"/>
                <w:i w:val="0"/>
                <w:sz w:val="14"/>
              </w:rPr>
              <w:t>Elective craniotomy under general anesthesia</w:t>
            </w:r>
          </w:p>
        </w:tc>
        <w:tc>
          <w:tcPr>
            <w:tcW w:type="dxa" w:w="4100"/>
          </w:tcPr>
          <w:p>
            <w:r>
              <w:rPr>
                <w:rFonts w:ascii="Times New Roman" w:hAnsi="Times New Roman" w:eastAsia="Times New Roman"/>
                <w:b w:val="0"/>
                <w:i w:val="0"/>
                <w:sz w:val="14"/>
              </w:rPr>
              <w:t>Delirium 18.8% overall, and 12.8%, 27.0%, 37.5% in non-frail, pre-frail, frail groups (mFI). Frailty independently associated with delirium (adjusted OR 1.7, p = .032).</w:t>
            </w:r>
          </w:p>
        </w:tc>
        <w:tc>
          <w:tcPr>
            <w:tcW w:type="dxa" w:w="1322"/>
          </w:tcPr>
          <w:p>
            <w:r>
              <w:rPr>
                <w:rFonts w:ascii="Times New Roman" w:hAnsi="Times New Roman" w:eastAsia="Times New Roman"/>
                <w:b w:val="0"/>
                <w:i w:val="0"/>
                <w:sz w:val="14"/>
              </w:rPr>
              <w:t>Frailty index, Delirium</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Huq, 2021</w:t>
            </w:r>
            <w:r>
              <w:rPr>
                <w:rFonts w:ascii="Times New Roman" w:hAnsi="Times New Roman"/>
                <w:vertAlign w:val="superscript"/>
                <w:sz w:val="14"/>
              </w:rPr>
              <w:t>12</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Brain tumors, n = 1,692</w:t>
            </w:r>
          </w:p>
        </w:tc>
        <w:tc>
          <w:tcPr>
            <w:tcW w:type="dxa" w:w="1653"/>
          </w:tcPr>
          <w:p>
            <w:r>
              <w:rPr>
                <w:rFonts w:ascii="Times New Roman" w:hAnsi="Times New Roman" w:eastAsia="Times New Roman"/>
                <w:b w:val="0"/>
                <w:i w:val="0"/>
                <w:sz w:val="14"/>
              </w:rPr>
              <w:t>Primary surgery</w:t>
            </w:r>
          </w:p>
        </w:tc>
        <w:tc>
          <w:tcPr>
            <w:tcW w:type="dxa" w:w="4100"/>
          </w:tcPr>
          <w:p>
            <w:r>
              <w:rPr>
                <w:rFonts w:ascii="Times New Roman" w:hAnsi="Times New Roman" w:eastAsia="Times New Roman"/>
                <w:b w:val="0"/>
                <w:i w:val="0"/>
                <w:sz w:val="14"/>
              </w:rPr>
              <w:t>Each mFI-5 point added 0.32 ICU days and 1.38 hospital days (p = .007, p &lt; .001) and predicted sepsis (OR 2.12) and respiratory failure (OR 1.55).</w:t>
            </w:r>
          </w:p>
        </w:tc>
        <w:tc>
          <w:tcPr>
            <w:tcW w:type="dxa" w:w="1322"/>
          </w:tcPr>
          <w:p>
            <w:r>
              <w:rPr>
                <w:rFonts w:ascii="Times New Roman" w:hAnsi="Times New Roman" w:eastAsia="Times New Roman"/>
                <w:b w:val="0"/>
                <w:i w:val="0"/>
                <w:sz w:val="14"/>
              </w:rPr>
              <w:t>Frailty index</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Skandalakis, 2023</w:t>
            </w:r>
            <w:r>
              <w:rPr>
                <w:rFonts w:ascii="Times New Roman" w:hAnsi="Times New Roman"/>
                <w:vertAlign w:val="superscript"/>
                <w:sz w:val="14"/>
              </w:rPr>
              <w:t>13</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Registry cohort</w:t>
            </w:r>
          </w:p>
        </w:tc>
        <w:tc>
          <w:tcPr>
            <w:tcW w:type="dxa" w:w="1653"/>
          </w:tcPr>
          <w:p>
            <w:r>
              <w:rPr>
                <w:rFonts w:ascii="Times New Roman" w:hAnsi="Times New Roman" w:eastAsia="Times New Roman"/>
                <w:b w:val="0"/>
                <w:i w:val="0"/>
                <w:sz w:val="14"/>
              </w:rPr>
              <w:t>Brain metastases, n = 11,038</w:t>
            </w:r>
          </w:p>
        </w:tc>
        <w:tc>
          <w:tcPr>
            <w:tcW w:type="dxa" w:w="1653"/>
          </w:tcPr>
          <w:p>
            <w:r>
              <w:rPr>
                <w:rFonts w:ascii="Times New Roman" w:hAnsi="Times New Roman" w:eastAsia="Times New Roman"/>
                <w:b w:val="0"/>
                <w:i w:val="0"/>
                <w:sz w:val="14"/>
              </w:rPr>
              <w:t>Resection (ACS NSQIP)</w:t>
            </w:r>
          </w:p>
        </w:tc>
        <w:tc>
          <w:tcPr>
            <w:tcW w:type="dxa" w:w="4100"/>
          </w:tcPr>
          <w:p>
            <w:r>
              <w:rPr>
                <w:rFonts w:ascii="Times New Roman" w:hAnsi="Times New Roman" w:eastAsia="Times New Roman"/>
                <w:b w:val="0"/>
                <w:i w:val="0"/>
                <w:sz w:val="14"/>
              </w:rPr>
              <w:t>Thirty-day mortality rose from 1.3% (robust) to 12.6% (severely frail) by Risk Analysis Index, which outperformed mFI-5 and age (C-statistic 0.65).</w:t>
            </w:r>
          </w:p>
        </w:tc>
        <w:tc>
          <w:tcPr>
            <w:tcW w:type="dxa" w:w="1322"/>
          </w:tcPr>
          <w:p>
            <w:r>
              <w:rPr>
                <w:rFonts w:ascii="Times New Roman" w:hAnsi="Times New Roman" w:eastAsia="Times New Roman"/>
                <w:b w:val="0"/>
                <w:i w:val="0"/>
                <w:sz w:val="14"/>
              </w:rPr>
              <w:t>Frailty index</w:t>
            </w:r>
          </w:p>
        </w:tc>
        <w:tc>
          <w:tcPr>
            <w:tcW w:type="dxa" w:w="595"/>
          </w:tcPr>
          <w:p>
            <w:r>
              <w:rPr>
                <w:rFonts w:ascii="Times New Roman" w:hAnsi="Times New Roman" w:eastAsia="Times New Roman"/>
                <w:b w:val="0"/>
                <w:i w:val="0"/>
                <w:sz w:val="14"/>
              </w:rPr>
              <w:t>3</w:t>
            </w:r>
          </w:p>
        </w:tc>
      </w:tr>
      <w:tr>
        <w:trPr>
          <w:cantSplit w:val="true"/>
        </w:trPr>
        <w:tc>
          <w:tcPr>
            <w:tcW w:type="dxa" w:w="12960"/>
            <w:gridSpan w:val="8"/>
          </w:tcPr>
          <w:p>
            <w:pPr>
              <w:keepNext/>
            </w:pPr>
            <w:r>
              <w:rPr>
                <w:rFonts w:ascii="Times New Roman" w:hAnsi="Times New Roman" w:eastAsia="Times New Roman"/>
                <w:b/>
                <w:i/>
                <w:sz w:val="15"/>
              </w:rPr>
              <w:t>Cognitive trajectories after tumor surgery (n = 22)</w:t>
            </w:r>
          </w:p>
        </w:tc>
      </w:tr>
      <w:tr>
        <w:trPr>
          <w:cantSplit w:val="true"/>
        </w:trPr>
        <w:tc>
          <w:tcPr>
            <w:tcW w:type="dxa" w:w="1521"/>
          </w:tcPr>
          <w:p>
            <w:r>
              <w:rPr>
                <w:rFonts w:ascii="Times New Roman" w:hAnsi="Times New Roman" w:eastAsia="Times New Roman"/>
                <w:b w:val="0"/>
                <w:i w:val="0"/>
                <w:sz w:val="14"/>
              </w:rPr>
              <w:t>Tucha, 2003</w:t>
            </w:r>
            <w:r>
              <w:rPr>
                <w:rFonts w:ascii="Times New Roman" w:hAnsi="Times New Roman"/>
                <w:vertAlign w:val="superscript"/>
                <w:sz w:val="14"/>
              </w:rPr>
              <w:t>14</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Frontal meningioma, n = 54, controls n = 54</w:t>
            </w:r>
          </w:p>
        </w:tc>
        <w:tc>
          <w:tcPr>
            <w:tcW w:type="dxa" w:w="1653"/>
          </w:tcPr>
          <w:p>
            <w:r>
              <w:rPr>
                <w:rFonts w:ascii="Times New Roman" w:hAnsi="Times New Roman" w:eastAsia="Times New Roman"/>
                <w:b w:val="0"/>
                <w:i w:val="0"/>
                <w:sz w:val="14"/>
              </w:rPr>
              <w:t>Total removal</w:t>
            </w:r>
          </w:p>
        </w:tc>
        <w:tc>
          <w:tcPr>
            <w:tcW w:type="dxa" w:w="4100"/>
          </w:tcPr>
          <w:p>
            <w:r>
              <w:rPr>
                <w:rFonts w:ascii="Times New Roman" w:hAnsi="Times New Roman" w:eastAsia="Times New Roman"/>
                <w:b w:val="0"/>
                <w:i w:val="0"/>
                <w:sz w:val="14"/>
              </w:rPr>
              <w:t>Patients were impaired against controls in several attentional and executive functions before surgery. No domain deteriorated, and attention improved at 4 to 9 months.</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Satoer, 2012</w:t>
            </w:r>
            <w:r>
              <w:rPr>
                <w:rFonts w:ascii="Times New Roman" w:hAnsi="Times New Roman"/>
                <w:vertAlign w:val="superscript"/>
                <w:sz w:val="14"/>
              </w:rPr>
              <w:t>15</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near eloquent areas, n = 28</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Impairment before and after surgery in language, memory, and executive domains. Postoperative decline in language (p = .027) and executive function (p = .022) at 3 to 4 months.</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van Dellen, 2013</w:t>
            </w:r>
            <w:r>
              <w:rPr>
                <w:rFonts w:ascii="Times New Roman" w:hAnsi="Times New Roman"/>
                <w:vertAlign w:val="superscript"/>
                <w:sz w:val="14"/>
              </w:rPr>
              <w:t>16</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Low-grade glioma, n = 10</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No group-level cognitive change. Default mode connectivity gain correlated with verbal memory (tau = .571, p = .048) and frontoparietal gain with attention (tau = .857, p = .003).</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Satoer, 2014</w:t>
            </w:r>
            <w:r>
              <w:rPr>
                <w:rFonts w:ascii="Times New Roman" w:hAnsi="Times New Roman"/>
                <w:vertAlign w:val="superscript"/>
                <w:sz w:val="14"/>
              </w:rPr>
              <w:t>17</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in eloquent areas, n = 45</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Permanent decline only in category fluency (p = .030). Letter fluency and naming improved between 3 months and 1 year. Trail making normalized by 1 year.</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Meskal, 2015</w:t>
            </w:r>
            <w:r>
              <w:rPr>
                <w:rFonts w:ascii="Times New Roman" w:hAnsi="Times New Roman"/>
                <w:vertAlign w:val="superscript"/>
                <w:sz w:val="14"/>
              </w:rPr>
              <w:t>18</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Meningioma, n = 68</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69% impaired in at least one domain before surgery and 44% at 3 months. Five of seven domains improved.</w:t>
            </w:r>
          </w:p>
        </w:tc>
        <w:tc>
          <w:tcPr>
            <w:tcW w:type="dxa" w:w="1322"/>
          </w:tcPr>
          <w:p>
            <w:r>
              <w:rPr>
                <w:rFonts w:ascii="Times New Roman" w:hAnsi="Times New Roman" w:eastAsia="Times New Roman"/>
                <w:b w:val="0"/>
                <w:i w:val="0"/>
                <w:sz w:val="14"/>
              </w:rPr>
              <w:t>Cognition</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Bommakanti, 2016</w:t>
            </w:r>
            <w:r>
              <w:rPr>
                <w:rFonts w:ascii="Times New Roman" w:hAnsi="Times New Roman"/>
                <w:vertAlign w:val="superscript"/>
                <w:sz w:val="14"/>
              </w:rPr>
              <w:t>19</w:t>
            </w:r>
          </w:p>
        </w:tc>
        <w:tc>
          <w:tcPr>
            <w:tcW w:type="dxa" w:w="926"/>
          </w:tcPr>
          <w:p>
            <w:r>
              <w:rPr>
                <w:rFonts w:ascii="Times New Roman" w:hAnsi="Times New Roman" w:eastAsia="Times New Roman"/>
                <w:b w:val="0"/>
                <w:i w:val="0"/>
                <w:sz w:val="14"/>
              </w:rPr>
              <w:t>India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Supratentorial meningioma, n = 57</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73.7% impaired on at least one test before surgery. Raised intracranial pressure was linked to impairment (95.2% vs 61.1%, p = .005). Improvement at 3 months, no deterioration.</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Lang, 2017</w:t>
            </w:r>
            <w:r>
              <w:rPr>
                <w:rFonts w:ascii="Times New Roman" w:hAnsi="Times New Roman"/>
                <w:vertAlign w:val="superscript"/>
                <w:sz w:val="14"/>
              </w:rPr>
              <w:t>20</w:t>
            </w:r>
          </w:p>
        </w:tc>
        <w:tc>
          <w:tcPr>
            <w:tcW w:type="dxa" w:w="926"/>
          </w:tcPr>
          <w:p>
            <w:r>
              <w:rPr>
                <w:rFonts w:ascii="Times New Roman" w:hAnsi="Times New Roman" w:eastAsia="Times New Roman"/>
                <w:b w:val="0"/>
                <w:i w:val="0"/>
                <w:sz w:val="14"/>
              </w:rPr>
              <w:t>Canada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Diffuse glioma, n = 16</w:t>
            </w:r>
          </w:p>
        </w:tc>
        <w:tc>
          <w:tcPr>
            <w:tcW w:type="dxa" w:w="1653"/>
          </w:tcPr>
          <w:p>
            <w:r>
              <w:rPr>
                <w:rFonts w:ascii="Times New Roman" w:hAnsi="Times New Roman" w:eastAsia="Times New Roman"/>
                <w:b w:val="0"/>
                <w:i w:val="0"/>
                <w:sz w:val="14"/>
              </w:rPr>
              <w:t>Resection, mostly with cortical mapping</w:t>
            </w:r>
          </w:p>
        </w:tc>
        <w:tc>
          <w:tcPr>
            <w:tcW w:type="dxa" w:w="4100"/>
          </w:tcPr>
          <w:p>
            <w:r>
              <w:rPr>
                <w:rFonts w:ascii="Times New Roman" w:hAnsi="Times New Roman" w:eastAsia="Times New Roman"/>
                <w:b w:val="0"/>
                <w:i w:val="0"/>
                <w:sz w:val="14"/>
              </w:rPr>
              <w:t>Frontoparietal connectivity correlated inversely with preoperative composite cognition (p = .024). Non-tumor parietal connectivity predicted one-month change (p = .009).</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Hoffermann, 2017</w:t>
            </w:r>
            <w:r>
              <w:rPr>
                <w:rFonts w:ascii="Times New Roman" w:hAnsi="Times New Roman"/>
                <w:vertAlign w:val="superscript"/>
                <w:sz w:val="14"/>
              </w:rPr>
              <w:t>21</w:t>
            </w:r>
          </w:p>
        </w:tc>
        <w:tc>
          <w:tcPr>
            <w:tcW w:type="dxa" w:w="926"/>
          </w:tcPr>
          <w:p>
            <w:r>
              <w:rPr>
                <w:rFonts w:ascii="Times New Roman" w:hAnsi="Times New Roman" w:eastAsia="Times New Roman"/>
                <w:b w:val="0"/>
                <w:i w:val="0"/>
                <w:sz w:val="14"/>
              </w:rPr>
              <w:t>Austria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Mixed intracranial tumors, n = 196</w:t>
            </w:r>
          </w:p>
        </w:tc>
        <w:tc>
          <w:tcPr>
            <w:tcW w:type="dxa" w:w="1653"/>
          </w:tcPr>
          <w:p>
            <w:r>
              <w:rPr>
                <w:rFonts w:ascii="Times New Roman" w:hAnsi="Times New Roman" w:eastAsia="Times New Roman"/>
                <w:b w:val="0"/>
                <w:i w:val="0"/>
                <w:sz w:val="14"/>
              </w:rPr>
              <w:t>Craniotomy</w:t>
            </w:r>
          </w:p>
        </w:tc>
        <w:tc>
          <w:tcPr>
            <w:tcW w:type="dxa" w:w="4100"/>
          </w:tcPr>
          <w:p>
            <w:r>
              <w:rPr>
                <w:rFonts w:ascii="Times New Roman" w:hAnsi="Times New Roman" w:eastAsia="Times New Roman"/>
                <w:b w:val="0"/>
                <w:i w:val="0"/>
                <w:sz w:val="14"/>
              </w:rPr>
              <w:t>No decline in any of eight computerized subtests at 3 to 4 months. Go/noGo (p = .003) and figural memory (p &lt; .001) improved. Meningioma overall score rose from 93 to 98 (p = .001).</w:t>
            </w:r>
          </w:p>
        </w:tc>
        <w:tc>
          <w:tcPr>
            <w:tcW w:type="dxa" w:w="1322"/>
          </w:tcPr>
          <w:p>
            <w:r>
              <w:rPr>
                <w:rFonts w:ascii="Times New Roman" w:hAnsi="Times New Roman" w:eastAsia="Times New Roman"/>
                <w:b w:val="0"/>
                <w:i w:val="0"/>
                <w:sz w:val="14"/>
              </w:rPr>
              <w:t>Cognition</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van Nieuwenhuizen, 2018</w:t>
            </w:r>
            <w:r>
              <w:rPr>
                <w:rFonts w:ascii="Times New Roman" w:hAnsi="Times New Roman"/>
                <w:vertAlign w:val="superscript"/>
                <w:sz w:val="14"/>
              </w:rPr>
              <w:t>22</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Case-control</w:t>
            </w:r>
          </w:p>
        </w:tc>
        <w:tc>
          <w:tcPr>
            <w:tcW w:type="dxa" w:w="1653"/>
          </w:tcPr>
          <w:p>
            <w:r>
              <w:rPr>
                <w:rFonts w:ascii="Times New Roman" w:hAnsi="Times New Roman" w:eastAsia="Times New Roman"/>
                <w:b w:val="0"/>
                <w:i w:val="0"/>
                <w:sz w:val="14"/>
              </w:rPr>
              <w:t>WHO grade I meningioma n = 20, controls n = 20</w:t>
            </w:r>
          </w:p>
        </w:tc>
        <w:tc>
          <w:tcPr>
            <w:tcW w:type="dxa" w:w="1653"/>
          </w:tcPr>
          <w:p>
            <w:r>
              <w:rPr>
                <w:rFonts w:ascii="Times New Roman" w:hAnsi="Times New Roman" w:eastAsia="Times New Roman"/>
                <w:b w:val="0"/>
                <w:i w:val="0"/>
                <w:sz w:val="14"/>
              </w:rPr>
              <w:t>Resection, assessed at mean 1.7 years</w:t>
            </w:r>
          </w:p>
        </w:tc>
        <w:tc>
          <w:tcPr>
            <w:tcW w:type="dxa" w:w="4100"/>
          </w:tcPr>
          <w:p>
            <w:r>
              <w:rPr>
                <w:rFonts w:ascii="Times New Roman" w:hAnsi="Times New Roman" w:eastAsia="Times New Roman"/>
                <w:b w:val="0"/>
                <w:i w:val="0"/>
                <w:sz w:val="14"/>
              </w:rPr>
              <w:t>Working memory was lower than in controls and linked to lower theta-band default mode connectivity.</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4</w:t>
            </w:r>
          </w:p>
        </w:tc>
      </w:tr>
      <w:tr>
        <w:trPr>
          <w:cantSplit w:val="true"/>
        </w:trPr>
        <w:tc>
          <w:tcPr>
            <w:tcW w:type="dxa" w:w="1521"/>
          </w:tcPr>
          <w:p>
            <w:r>
              <w:rPr>
                <w:rFonts w:ascii="Times New Roman" w:hAnsi="Times New Roman" w:eastAsia="Times New Roman"/>
                <w:b w:val="0"/>
                <w:i w:val="0"/>
                <w:sz w:val="14"/>
              </w:rPr>
              <w:t>Barzilai, 2019</w:t>
            </w:r>
            <w:r>
              <w:rPr>
                <w:rFonts w:ascii="Times New Roman" w:hAnsi="Times New Roman"/>
                <w:vertAlign w:val="superscript"/>
                <w:sz w:val="14"/>
              </w:rPr>
              <w:t>23</w:t>
            </w:r>
          </w:p>
        </w:tc>
        <w:tc>
          <w:tcPr>
            <w:tcW w:type="dxa" w:w="926"/>
          </w:tcPr>
          <w:p>
            <w:r>
              <w:rPr>
                <w:rFonts w:ascii="Times New Roman" w:hAnsi="Times New Roman" w:eastAsia="Times New Roman"/>
                <w:b w:val="0"/>
                <w:i w:val="0"/>
                <w:sz w:val="14"/>
              </w:rPr>
              <w:t>Israel</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Low-grade glioma, n = 49</w:t>
            </w:r>
          </w:p>
        </w:tc>
        <w:tc>
          <w:tcPr>
            <w:tcW w:type="dxa" w:w="1653"/>
          </w:tcPr>
          <w:p>
            <w:r>
              <w:rPr>
                <w:rFonts w:ascii="Times New Roman" w:hAnsi="Times New Roman" w:eastAsia="Times New Roman"/>
                <w:b w:val="0"/>
                <w:i w:val="0"/>
                <w:sz w:val="14"/>
              </w:rPr>
              <w:t>Craniotomy, awake mapping in most</w:t>
            </w:r>
          </w:p>
        </w:tc>
        <w:tc>
          <w:tcPr>
            <w:tcW w:type="dxa" w:w="4100"/>
          </w:tcPr>
          <w:p>
            <w:r>
              <w:rPr>
                <w:rFonts w:ascii="Times New Roman" w:hAnsi="Times New Roman" w:eastAsia="Times New Roman"/>
                <w:b w:val="0"/>
                <w:i w:val="0"/>
                <w:sz w:val="14"/>
              </w:rPr>
              <w:t>Memory (p &lt; .001) and executive function (p = .031) improved at mean 6.06 months. No link with IDH1 status or extent of resection.</w:t>
            </w:r>
          </w:p>
        </w:tc>
        <w:tc>
          <w:tcPr>
            <w:tcW w:type="dxa" w:w="1322"/>
          </w:tcPr>
          <w:p>
            <w:r>
              <w:rPr>
                <w:rFonts w:ascii="Times New Roman" w:hAnsi="Times New Roman" w:eastAsia="Times New Roman"/>
                <w:b w:val="0"/>
                <w:i w:val="0"/>
                <w:sz w:val="14"/>
              </w:rPr>
              <w:t>Cognition</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Capo, 2020</w:t>
            </w:r>
            <w:r>
              <w:rPr>
                <w:rFonts w:ascii="Times New Roman" w:hAnsi="Times New Roman"/>
                <w:vertAlign w:val="superscript"/>
                <w:sz w:val="14"/>
              </w:rPr>
              <w:t>24</w:t>
            </w:r>
          </w:p>
        </w:tc>
        <w:tc>
          <w:tcPr>
            <w:tcW w:type="dxa" w:w="926"/>
          </w:tcPr>
          <w:p>
            <w:r>
              <w:rPr>
                <w:rFonts w:ascii="Times New Roman" w:hAnsi="Times New Roman" w:eastAsia="Times New Roman"/>
                <w:b w:val="0"/>
                <w:i w:val="0"/>
                <w:sz w:val="14"/>
              </w:rPr>
              <w:t>Italy</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Recurrent glioma, n = 40</w:t>
            </w:r>
          </w:p>
        </w:tc>
        <w:tc>
          <w:tcPr>
            <w:tcW w:type="dxa" w:w="1653"/>
          </w:tcPr>
          <w:p>
            <w:r>
              <w:rPr>
                <w:rFonts w:ascii="Times New Roman" w:hAnsi="Times New Roman" w:eastAsia="Times New Roman"/>
                <w:b w:val="0"/>
                <w:i w:val="0"/>
                <w:sz w:val="14"/>
              </w:rPr>
              <w:t>Awake repeat surgery</w:t>
            </w:r>
          </w:p>
        </w:tc>
        <w:tc>
          <w:tcPr>
            <w:tcW w:type="dxa" w:w="4100"/>
          </w:tcPr>
          <w:p>
            <w:r>
              <w:rPr>
                <w:rFonts w:ascii="Times New Roman" w:hAnsi="Times New Roman" w:eastAsia="Times New Roman"/>
                <w:b w:val="0"/>
                <w:i w:val="0"/>
                <w:sz w:val="14"/>
              </w:rPr>
              <w:t>No significant change in normal-range counts after the second surgery except a small decline in oral praxis. Repeat surgery was feasible at 4 months.</w:t>
            </w:r>
          </w:p>
        </w:tc>
        <w:tc>
          <w:tcPr>
            <w:tcW w:type="dxa" w:w="1322"/>
          </w:tcPr>
          <w:p>
            <w:r>
              <w:rPr>
                <w:rFonts w:ascii="Times New Roman" w:hAnsi="Times New Roman" w:eastAsia="Times New Roman"/>
                <w:b w:val="0"/>
                <w:i w:val="0"/>
                <w:sz w:val="14"/>
              </w:rPr>
              <w:t>Cognition</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Niki, 2020</w:t>
            </w:r>
            <w:r>
              <w:rPr>
                <w:rFonts w:ascii="Times New Roman" w:hAnsi="Times New Roman"/>
                <w:vertAlign w:val="superscript"/>
                <w:sz w:val="14"/>
              </w:rPr>
              <w:t>25</w:t>
            </w:r>
          </w:p>
        </w:tc>
        <w:tc>
          <w:tcPr>
            <w:tcW w:type="dxa" w:w="926"/>
          </w:tcPr>
          <w:p>
            <w:r>
              <w:rPr>
                <w:rFonts w:ascii="Times New Roman" w:hAnsi="Times New Roman" w:eastAsia="Times New Roman"/>
                <w:b w:val="0"/>
                <w:i w:val="0"/>
                <w:sz w:val="14"/>
              </w:rPr>
              <w:t>Japan</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 = 54</w:t>
            </w:r>
          </w:p>
        </w:tc>
        <w:tc>
          <w:tcPr>
            <w:tcW w:type="dxa" w:w="1653"/>
          </w:tcPr>
          <w:p>
            <w:r>
              <w:rPr>
                <w:rFonts w:ascii="Times New Roman" w:hAnsi="Times New Roman" w:eastAsia="Times New Roman"/>
                <w:b w:val="0"/>
                <w:i w:val="0"/>
                <w:sz w:val="14"/>
              </w:rPr>
              <w:t>Resection with intraoperative MRI</w:t>
            </w:r>
          </w:p>
        </w:tc>
        <w:tc>
          <w:tcPr>
            <w:tcW w:type="dxa" w:w="4100"/>
          </w:tcPr>
          <w:p>
            <w:r>
              <w:rPr>
                <w:rFonts w:ascii="Times New Roman" w:hAnsi="Times New Roman" w:eastAsia="Times New Roman"/>
                <w:b w:val="0"/>
                <w:i w:val="0"/>
                <w:sz w:val="14"/>
              </w:rPr>
              <w:t>Lesion-symptom mapping tied separate cognitive components to left temporoparietal and right frontal regions. MMSE-J stayed normal and missed these deficits.</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Noll, 2021</w:t>
            </w:r>
            <w:r>
              <w:rPr>
                <w:rFonts w:ascii="Times New Roman" w:hAnsi="Times New Roman"/>
                <w:vertAlign w:val="superscript"/>
                <w:sz w:val="14"/>
              </w:rPr>
              <w:t>26</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Left perisylvian glioma, n = 15</w:t>
            </w:r>
          </w:p>
        </w:tc>
        <w:tc>
          <w:tcPr>
            <w:tcW w:type="dxa" w:w="1653"/>
          </w:tcPr>
          <w:p>
            <w:r>
              <w:rPr>
                <w:rFonts w:ascii="Times New Roman" w:hAnsi="Times New Roman" w:eastAsia="Times New Roman"/>
                <w:b w:val="0"/>
                <w:i w:val="0"/>
                <w:sz w:val="14"/>
              </w:rPr>
              <w:t>Awake craniotomy with language mapping</w:t>
            </w:r>
          </w:p>
        </w:tc>
        <w:tc>
          <w:tcPr>
            <w:tcW w:type="dxa" w:w="4100"/>
          </w:tcPr>
          <w:p>
            <w:r>
              <w:rPr>
                <w:rFonts w:ascii="Times New Roman" w:hAnsi="Times New Roman" w:eastAsia="Times New Roman"/>
                <w:b w:val="0"/>
                <w:i w:val="0"/>
                <w:sz w:val="14"/>
              </w:rPr>
              <w:t>87% declined (z &lt;= -1.00) on at least one cognitive measure within 12 weeks. Connectomic changes correlated with cognitive change (rho -0.51 to -0.78).</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Stalnacke, 2021</w:t>
            </w:r>
            <w:r>
              <w:rPr>
                <w:rFonts w:ascii="Times New Roman" w:hAnsi="Times New Roman"/>
                <w:vertAlign w:val="superscript"/>
                <w:sz w:val="14"/>
              </w:rPr>
              <w:t>27</w:t>
            </w:r>
          </w:p>
        </w:tc>
        <w:tc>
          <w:tcPr>
            <w:tcW w:type="dxa" w:w="926"/>
          </w:tcPr>
          <w:p>
            <w:r>
              <w:rPr>
                <w:rFonts w:ascii="Times New Roman" w:hAnsi="Times New Roman" w:eastAsia="Times New Roman"/>
                <w:b w:val="0"/>
                <w:i w:val="0"/>
                <w:sz w:val="14"/>
              </w:rPr>
              <w:t>Sweden</w:t>
            </w:r>
          </w:p>
        </w:tc>
        <w:tc>
          <w:tcPr>
            <w:tcW w:type="dxa" w:w="1190"/>
          </w:tcPr>
          <w:p>
            <w:r>
              <w:rPr>
                <w:rFonts w:ascii="Times New Roman" w:hAnsi="Times New Roman" w:eastAsia="Times New Roman"/>
                <w:b w:val="0"/>
                <w:i w:val="0"/>
                <w:sz w:val="14"/>
              </w:rPr>
              <w:t>Case series</w:t>
            </w:r>
          </w:p>
        </w:tc>
        <w:tc>
          <w:tcPr>
            <w:tcW w:type="dxa" w:w="1653"/>
          </w:tcPr>
          <w:p>
            <w:r>
              <w:rPr>
                <w:rFonts w:ascii="Times New Roman" w:hAnsi="Times New Roman" w:eastAsia="Times New Roman"/>
                <w:b w:val="0"/>
                <w:i w:val="0"/>
                <w:sz w:val="14"/>
              </w:rPr>
              <w:t>Suspected low-grade glioma, n = 7</w:t>
            </w:r>
          </w:p>
        </w:tc>
        <w:tc>
          <w:tcPr>
            <w:tcW w:type="dxa" w:w="1653"/>
          </w:tcPr>
          <w:p>
            <w:r>
              <w:rPr>
                <w:rFonts w:ascii="Times New Roman" w:hAnsi="Times New Roman" w:eastAsia="Times New Roman"/>
                <w:b w:val="0"/>
                <w:i w:val="0"/>
                <w:sz w:val="14"/>
              </w:rPr>
              <w:t>Awake resection of face motor cortex</w:t>
            </w:r>
          </w:p>
        </w:tc>
        <w:tc>
          <w:tcPr>
            <w:tcW w:type="dxa" w:w="4100"/>
          </w:tcPr>
          <w:p>
            <w:r>
              <w:rPr>
                <w:rFonts w:ascii="Times New Roman" w:hAnsi="Times New Roman" w:eastAsia="Times New Roman"/>
                <w:b w:val="0"/>
                <w:i w:val="0"/>
                <w:sz w:val="14"/>
              </w:rPr>
              <w:t>Verbal processing speed declined, with no change in fluency, memory, or working memory. Six of seven had mild facial dysfunction.</w:t>
            </w:r>
          </w:p>
        </w:tc>
        <w:tc>
          <w:tcPr>
            <w:tcW w:type="dxa" w:w="1322"/>
          </w:tcPr>
          <w:p>
            <w:r>
              <w:rPr>
                <w:rFonts w:ascii="Times New Roman" w:hAnsi="Times New Roman" w:eastAsia="Times New Roman"/>
                <w:b w:val="0"/>
                <w:i w:val="0"/>
                <w:sz w:val="14"/>
              </w:rPr>
              <w:t>Cognition, Neurological or functional</w:t>
            </w:r>
          </w:p>
        </w:tc>
        <w:tc>
          <w:tcPr>
            <w:tcW w:type="dxa" w:w="595"/>
          </w:tcPr>
          <w:p>
            <w:r>
              <w:rPr>
                <w:rFonts w:ascii="Times New Roman" w:hAnsi="Times New Roman" w:eastAsia="Times New Roman"/>
                <w:b w:val="0"/>
                <w:i w:val="0"/>
                <w:sz w:val="14"/>
              </w:rPr>
              <w:t>4</w:t>
            </w:r>
          </w:p>
        </w:tc>
      </w:tr>
      <w:tr>
        <w:trPr>
          <w:cantSplit w:val="true"/>
        </w:trPr>
        <w:tc>
          <w:tcPr>
            <w:tcW w:type="dxa" w:w="1521"/>
          </w:tcPr>
          <w:p>
            <w:r>
              <w:rPr>
                <w:rFonts w:ascii="Times New Roman" w:hAnsi="Times New Roman" w:eastAsia="Times New Roman"/>
                <w:b w:val="0"/>
                <w:i w:val="0"/>
                <w:sz w:val="14"/>
              </w:rPr>
              <w:t>Zarino, 2021</w:t>
            </w:r>
            <w:r>
              <w:rPr>
                <w:rFonts w:ascii="Times New Roman" w:hAnsi="Times New Roman"/>
                <w:vertAlign w:val="superscript"/>
                <w:sz w:val="14"/>
              </w:rPr>
              <w:t>28</w:t>
            </w:r>
          </w:p>
        </w:tc>
        <w:tc>
          <w:tcPr>
            <w:tcW w:type="dxa" w:w="926"/>
          </w:tcPr>
          <w:p>
            <w:r>
              <w:rPr>
                <w:rFonts w:ascii="Times New Roman" w:hAnsi="Times New Roman" w:eastAsia="Times New Roman"/>
                <w:b w:val="0"/>
                <w:i w:val="0"/>
                <w:sz w:val="14"/>
              </w:rPr>
              <w:t>Italy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Insular glioma, n = 35</w:t>
            </w:r>
          </w:p>
        </w:tc>
        <w:tc>
          <w:tcPr>
            <w:tcW w:type="dxa" w:w="1653"/>
          </w:tcPr>
          <w:p>
            <w:r>
              <w:rPr>
                <w:rFonts w:ascii="Times New Roman" w:hAnsi="Times New Roman" w:eastAsia="Times New Roman"/>
                <w:b w:val="0"/>
                <w:i w:val="0"/>
                <w:sz w:val="14"/>
              </w:rPr>
              <w:t>Resection with mapping</w:t>
            </w:r>
          </w:p>
        </w:tc>
        <w:tc>
          <w:tcPr>
            <w:tcW w:type="dxa" w:w="4100"/>
          </w:tcPr>
          <w:p>
            <w:r>
              <w:rPr>
                <w:rFonts w:ascii="Times New Roman" w:hAnsi="Times New Roman" w:eastAsia="Times New Roman"/>
                <w:b w:val="0"/>
                <w:i w:val="0"/>
                <w:sz w:val="14"/>
              </w:rPr>
              <w:t>Language fell after surgery and partly recovered by 3 months. Aphasic symptoms in 92% of left-sided patients early and 44% at 3 months.</w:t>
            </w:r>
          </w:p>
        </w:tc>
        <w:tc>
          <w:tcPr>
            <w:tcW w:type="dxa" w:w="1322"/>
          </w:tcPr>
          <w:p>
            <w:r>
              <w:rPr>
                <w:rFonts w:ascii="Times New Roman" w:hAnsi="Times New Roman" w:eastAsia="Times New Roman"/>
                <w:b w:val="0"/>
                <w:i w:val="0"/>
                <w:sz w:val="14"/>
              </w:rPr>
              <w:t>Cognition,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Schei, 2022</w:t>
            </w:r>
            <w:r>
              <w:rPr>
                <w:rFonts w:ascii="Times New Roman" w:hAnsi="Times New Roman"/>
                <w:vertAlign w:val="superscript"/>
                <w:sz w:val="14"/>
              </w:rPr>
              <w:t>29</w:t>
            </w:r>
          </w:p>
        </w:tc>
        <w:tc>
          <w:tcPr>
            <w:tcW w:type="dxa" w:w="926"/>
          </w:tcPr>
          <w:p>
            <w:r>
              <w:rPr>
                <w:rFonts w:ascii="Times New Roman" w:hAnsi="Times New Roman" w:eastAsia="Times New Roman"/>
                <w:b w:val="0"/>
                <w:i w:val="0"/>
                <w:sz w:val="14"/>
              </w:rPr>
              <w:t>Norway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Diffuse glioma, n = 182</w:t>
            </w:r>
          </w:p>
        </w:tc>
        <w:tc>
          <w:tcPr>
            <w:tcW w:type="dxa" w:w="1653"/>
          </w:tcPr>
          <w:p>
            <w:r>
              <w:rPr>
                <w:rFonts w:ascii="Times New Roman" w:hAnsi="Times New Roman" w:eastAsia="Times New Roman"/>
                <w:b w:val="0"/>
                <w:i w:val="0"/>
                <w:sz w:val="14"/>
              </w:rPr>
              <w:t>Primary resection</w:t>
            </w:r>
          </w:p>
        </w:tc>
        <w:tc>
          <w:tcPr>
            <w:tcW w:type="dxa" w:w="4100"/>
          </w:tcPr>
          <w:p>
            <w:r>
              <w:rPr>
                <w:rFonts w:ascii="Times New Roman" w:hAnsi="Times New Roman" w:eastAsia="Times New Roman"/>
                <w:b w:val="0"/>
                <w:i w:val="0"/>
                <w:sz w:val="14"/>
              </w:rPr>
              <w:t>High-grade glioma cognitive score rose from 70.9 to 85.1 at 1 month (p &lt; .001). Low-grade glioma stayed near 80 to 81. Steroid use and tumor volume predicted improvement.</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Zangrossi, 2022</w:t>
            </w:r>
            <w:r>
              <w:rPr>
                <w:rFonts w:ascii="Times New Roman" w:hAnsi="Times New Roman"/>
                <w:vertAlign w:val="superscript"/>
                <w:sz w:val="14"/>
              </w:rPr>
              <w:t>30</w:t>
            </w:r>
          </w:p>
        </w:tc>
        <w:tc>
          <w:tcPr>
            <w:tcW w:type="dxa" w:w="926"/>
          </w:tcPr>
          <w:p>
            <w:r>
              <w:rPr>
                <w:rFonts w:ascii="Times New Roman" w:hAnsi="Times New Roman" w:eastAsia="Times New Roman"/>
                <w:b w:val="0"/>
                <w:i w:val="0"/>
                <w:sz w:val="14"/>
              </w:rPr>
              <w:t>Italy</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Glioma, n = 47</w:t>
            </w:r>
          </w:p>
        </w:tc>
        <w:tc>
          <w:tcPr>
            <w:tcW w:type="dxa" w:w="1653"/>
          </w:tcPr>
          <w:p>
            <w:r>
              <w:rPr>
                <w:rFonts w:ascii="Times New Roman" w:hAnsi="Times New Roman" w:eastAsia="Times New Roman"/>
                <w:b w:val="0"/>
                <w:i w:val="0"/>
                <w:sz w:val="14"/>
              </w:rPr>
              <w:t>Awake surgery</w:t>
            </w:r>
          </w:p>
        </w:tc>
        <w:tc>
          <w:tcPr>
            <w:tcW w:type="dxa" w:w="4100"/>
          </w:tcPr>
          <w:p>
            <w:r>
              <w:rPr>
                <w:rFonts w:ascii="Times New Roman" w:hAnsi="Times New Roman" w:eastAsia="Times New Roman"/>
                <w:b w:val="0"/>
                <w:i w:val="0"/>
                <w:sz w:val="14"/>
              </w:rPr>
              <w:t>85% of test scores were stable or improved at one week. Presurgical cognition was the strongest predictor of early outcome (leave-one-out r = 0.57).</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Barberis, 2022</w:t>
            </w:r>
            <w:r>
              <w:rPr>
                <w:rFonts w:ascii="Times New Roman" w:hAnsi="Times New Roman"/>
                <w:vertAlign w:val="superscript"/>
                <w:sz w:val="14"/>
              </w:rPr>
              <w:t>31</w:t>
            </w:r>
          </w:p>
        </w:tc>
        <w:tc>
          <w:tcPr>
            <w:tcW w:type="dxa" w:w="926"/>
          </w:tcPr>
          <w:p>
            <w:r>
              <w:rPr>
                <w:rFonts w:ascii="Times New Roman" w:hAnsi="Times New Roman" w:eastAsia="Times New Roman"/>
                <w:b w:val="0"/>
                <w:i w:val="0"/>
                <w:sz w:val="14"/>
              </w:rPr>
              <w:t>France</w:t>
            </w:r>
          </w:p>
        </w:tc>
        <w:tc>
          <w:tcPr>
            <w:tcW w:type="dxa" w:w="1190"/>
          </w:tcPr>
          <w:p>
            <w:r>
              <w:rPr>
                <w:rFonts w:ascii="Times New Roman" w:hAnsi="Times New Roman" w:eastAsia="Times New Roman"/>
                <w:b w:val="0"/>
                <w:i w:val="0"/>
                <w:sz w:val="14"/>
              </w:rPr>
              <w:t>Case series</w:t>
            </w:r>
          </w:p>
        </w:tc>
        <w:tc>
          <w:tcPr>
            <w:tcW w:type="dxa" w:w="1653"/>
          </w:tcPr>
          <w:p>
            <w:r>
              <w:rPr>
                <w:rFonts w:ascii="Times New Roman" w:hAnsi="Times New Roman" w:eastAsia="Times New Roman"/>
                <w:b w:val="0"/>
                <w:i w:val="0"/>
                <w:sz w:val="14"/>
              </w:rPr>
              <w:t>Right frontal IDH-mutant glioma, 20 cases in 18 patients</w:t>
            </w:r>
          </w:p>
        </w:tc>
        <w:tc>
          <w:tcPr>
            <w:tcW w:type="dxa" w:w="1653"/>
          </w:tcPr>
          <w:p>
            <w:r>
              <w:rPr>
                <w:rFonts w:ascii="Times New Roman" w:hAnsi="Times New Roman" w:eastAsia="Times New Roman"/>
                <w:b w:val="0"/>
                <w:i w:val="0"/>
                <w:sz w:val="14"/>
              </w:rPr>
              <w:t>Awake mapping</w:t>
            </w:r>
          </w:p>
        </w:tc>
        <w:tc>
          <w:tcPr>
            <w:tcW w:type="dxa" w:w="4100"/>
          </w:tcPr>
          <w:p>
            <w:r>
              <w:rPr>
                <w:rFonts w:ascii="Times New Roman" w:hAnsi="Times New Roman" w:eastAsia="Times New Roman"/>
                <w:b w:val="0"/>
                <w:i w:val="0"/>
                <w:sz w:val="14"/>
              </w:rPr>
              <w:t>Severe early deficits in executive function (75%) and attention (65%). Group scores stable at 4 months, but 45% of cases declined in at least one domain.</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4</w:t>
            </w:r>
          </w:p>
        </w:tc>
      </w:tr>
      <w:tr>
        <w:trPr>
          <w:cantSplit w:val="true"/>
        </w:trPr>
        <w:tc>
          <w:tcPr>
            <w:tcW w:type="dxa" w:w="1521"/>
          </w:tcPr>
          <w:p>
            <w:r>
              <w:rPr>
                <w:rFonts w:ascii="Times New Roman" w:hAnsi="Times New Roman" w:eastAsia="Times New Roman"/>
                <w:b w:val="0"/>
                <w:i w:val="0"/>
                <w:sz w:val="14"/>
              </w:rPr>
              <w:t>de Sain, 2023</w:t>
            </w:r>
            <w:r>
              <w:rPr>
                <w:rFonts w:ascii="Times New Roman" w:hAnsi="Times New Roman"/>
                <w:vertAlign w:val="superscript"/>
                <w:sz w:val="14"/>
              </w:rPr>
              <w:t>32</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Diffuse glioma, n = 37</w:t>
            </w:r>
          </w:p>
        </w:tc>
        <w:tc>
          <w:tcPr>
            <w:tcW w:type="dxa" w:w="1653"/>
          </w:tcPr>
          <w:p>
            <w:r>
              <w:rPr>
                <w:rFonts w:ascii="Times New Roman" w:hAnsi="Times New Roman" w:eastAsia="Times New Roman"/>
                <w:b w:val="0"/>
                <w:i w:val="0"/>
                <w:sz w:val="14"/>
              </w:rPr>
              <w:t>Awake surgery with electrostimulation</w:t>
            </w:r>
          </w:p>
        </w:tc>
        <w:tc>
          <w:tcPr>
            <w:tcW w:type="dxa" w:w="4100"/>
          </w:tcPr>
          <w:p>
            <w:r>
              <w:rPr>
                <w:rFonts w:ascii="Times New Roman" w:hAnsi="Times New Roman" w:eastAsia="Times New Roman"/>
                <w:b w:val="0"/>
                <w:i w:val="0"/>
                <w:sz w:val="14"/>
              </w:rPr>
              <w:t>Cognition stable overall. Inhibition reaction time slowed early (p = .004) and improved later (p = .017). Mean extent of resection 83.6%.</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Schouwenaars, 2024</w:t>
            </w:r>
            <w:r>
              <w:rPr>
                <w:rFonts w:ascii="Times New Roman" w:hAnsi="Times New Roman"/>
                <w:vertAlign w:val="superscript"/>
                <w:sz w:val="14"/>
              </w:rPr>
              <w:t>33</w:t>
            </w:r>
          </w:p>
        </w:tc>
        <w:tc>
          <w:tcPr>
            <w:tcW w:type="dxa" w:w="926"/>
          </w:tcPr>
          <w:p>
            <w:r>
              <w:rPr>
                <w:rFonts w:ascii="Times New Roman" w:hAnsi="Times New Roman" w:eastAsia="Times New Roman"/>
                <w:b w:val="0"/>
                <w:i w:val="0"/>
                <w:sz w:val="14"/>
              </w:rPr>
              <w:t>Netherlands</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Meningioma, n = 23</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Scores were below norms on three tests before and after surgery, with no improvement at 3 months. Network activity during the 2-back task was unchanged.</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Tran, 2025</w:t>
            </w:r>
            <w:r>
              <w:rPr>
                <w:rFonts w:ascii="Times New Roman" w:hAnsi="Times New Roman"/>
                <w:vertAlign w:val="superscript"/>
                <w:sz w:val="14"/>
              </w:rPr>
              <w:t>34</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Glioma n = 7, meningioma n = 13</w:t>
            </w:r>
          </w:p>
        </w:tc>
        <w:tc>
          <w:tcPr>
            <w:tcW w:type="dxa" w:w="1653"/>
          </w:tcPr>
          <w:p>
            <w:r>
              <w:rPr>
                <w:rFonts w:ascii="Times New Roman" w:hAnsi="Times New Roman" w:eastAsia="Times New Roman"/>
                <w:b w:val="0"/>
                <w:i w:val="0"/>
                <w:sz w:val="14"/>
              </w:rPr>
              <w:t>Resection (public dataset, preprint)</w:t>
            </w:r>
          </w:p>
        </w:tc>
        <w:tc>
          <w:tcPr>
            <w:tcW w:type="dxa" w:w="4100"/>
          </w:tcPr>
          <w:p>
            <w:r>
              <w:rPr>
                <w:rFonts w:ascii="Times New Roman" w:hAnsi="Times New Roman" w:eastAsia="Times New Roman"/>
                <w:b w:val="0"/>
                <w:i w:val="0"/>
                <w:sz w:val="14"/>
              </w:rPr>
              <w:t>Preoperative high-order resting-state features predicted the 6-month working memory group (accuracy 90%, AUC 0.95). Not peer reviewed.</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Zigiotto, 2026</w:t>
            </w:r>
            <w:r>
              <w:rPr>
                <w:rFonts w:ascii="Times New Roman" w:hAnsi="Times New Roman"/>
                <w:vertAlign w:val="superscript"/>
                <w:sz w:val="14"/>
              </w:rPr>
              <w:t>35</w:t>
            </w:r>
          </w:p>
        </w:tc>
        <w:tc>
          <w:tcPr>
            <w:tcW w:type="dxa" w:w="926"/>
          </w:tcPr>
          <w:p>
            <w:r>
              <w:rPr>
                <w:rFonts w:ascii="Times New Roman" w:hAnsi="Times New Roman" w:eastAsia="Times New Roman"/>
                <w:b w:val="0"/>
                <w:i w:val="0"/>
                <w:sz w:val="14"/>
              </w:rPr>
              <w:t>Italy</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Glioma, n = 64</w:t>
            </w:r>
          </w:p>
        </w:tc>
        <w:tc>
          <w:tcPr>
            <w:tcW w:type="dxa" w:w="1653"/>
          </w:tcPr>
          <w:p>
            <w:r>
              <w:rPr>
                <w:rFonts w:ascii="Times New Roman" w:hAnsi="Times New Roman" w:eastAsia="Times New Roman"/>
                <w:b w:val="0"/>
                <w:i w:val="0"/>
                <w:sz w:val="14"/>
              </w:rPr>
              <w:t>Awake versus asleep surgery</w:t>
            </w:r>
          </w:p>
        </w:tc>
        <w:tc>
          <w:tcPr>
            <w:tcW w:type="dxa" w:w="4100"/>
          </w:tcPr>
          <w:p>
            <w:r>
              <w:rPr>
                <w:rFonts w:ascii="Times New Roman" w:hAnsi="Times New Roman" w:eastAsia="Times New Roman"/>
                <w:b w:val="0"/>
                <w:i w:val="0"/>
                <w:sz w:val="14"/>
              </w:rPr>
              <w:t>Attention declined at 1 week and recovered by 1 month. Awake surgery was the only clinical predictor of decline. Default mode network lesions were linked to worse scores.</w:t>
            </w:r>
          </w:p>
        </w:tc>
        <w:tc>
          <w:tcPr>
            <w:tcW w:type="dxa" w:w="1322"/>
          </w:tcPr>
          <w:p>
            <w:r>
              <w:rPr>
                <w:rFonts w:ascii="Times New Roman" w:hAnsi="Times New Roman" w:eastAsia="Times New Roman"/>
                <w:b w:val="0"/>
                <w:i w:val="0"/>
                <w:sz w:val="14"/>
              </w:rPr>
              <w:t>Cognition, Imaging</w:t>
            </w:r>
          </w:p>
        </w:tc>
        <w:tc>
          <w:tcPr>
            <w:tcW w:type="dxa" w:w="595"/>
          </w:tcPr>
          <w:p>
            <w:r>
              <w:rPr>
                <w:rFonts w:ascii="Times New Roman" w:hAnsi="Times New Roman" w:eastAsia="Times New Roman"/>
                <w:b w:val="0"/>
                <w:i w:val="0"/>
                <w:sz w:val="14"/>
              </w:rPr>
              <w:t>3</w:t>
            </w:r>
          </w:p>
        </w:tc>
      </w:tr>
      <w:tr>
        <w:trPr>
          <w:cantSplit w:val="true"/>
        </w:trPr>
        <w:tc>
          <w:tcPr>
            <w:tcW w:type="dxa" w:w="12960"/>
            <w:gridSpan w:val="8"/>
          </w:tcPr>
          <w:p>
            <w:pPr>
              <w:keepNext/>
            </w:pPr>
            <w:r>
              <w:rPr>
                <w:rFonts w:ascii="Times New Roman" w:hAnsi="Times New Roman" w:eastAsia="Times New Roman"/>
                <w:b/>
                <w:i/>
                <w:sz w:val="15"/>
              </w:rPr>
              <w:t>Postoperative delirium and agitation (n = 6)</w:t>
            </w:r>
          </w:p>
        </w:tc>
      </w:tr>
      <w:tr>
        <w:trPr>
          <w:cantSplit w:val="true"/>
        </w:trPr>
        <w:tc>
          <w:tcPr>
            <w:tcW w:type="dxa" w:w="1521"/>
          </w:tcPr>
          <w:p>
            <w:r>
              <w:rPr>
                <w:rFonts w:ascii="Times New Roman" w:hAnsi="Times New Roman" w:eastAsia="Times New Roman"/>
                <w:b w:val="0"/>
                <w:i w:val="0"/>
                <w:sz w:val="14"/>
              </w:rPr>
              <w:t>Huang, 2018</w:t>
            </w:r>
            <w:r>
              <w:rPr>
                <w:rFonts w:ascii="Times New Roman" w:hAnsi="Times New Roman"/>
                <w:vertAlign w:val="superscript"/>
                <w:sz w:val="14"/>
              </w:rPr>
              <w:t>36</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Mixed brain tumors, n = 400</w:t>
            </w:r>
          </w:p>
        </w:tc>
        <w:tc>
          <w:tcPr>
            <w:tcW w:type="dxa" w:w="1653"/>
          </w:tcPr>
          <w:p>
            <w:r>
              <w:rPr>
                <w:rFonts w:ascii="Times New Roman" w:hAnsi="Times New Roman" w:eastAsia="Times New Roman"/>
                <w:b w:val="0"/>
                <w:i w:val="0"/>
                <w:sz w:val="14"/>
              </w:rPr>
              <w:t>Craniotomy with ICU admission</w:t>
            </w:r>
          </w:p>
        </w:tc>
        <w:tc>
          <w:tcPr>
            <w:tcW w:type="dxa" w:w="4100"/>
          </w:tcPr>
          <w:p>
            <w:r>
              <w:rPr>
                <w:rFonts w:ascii="Times New Roman" w:hAnsi="Times New Roman" w:eastAsia="Times New Roman"/>
                <w:b w:val="0"/>
                <w:i w:val="0"/>
                <w:sz w:val="14"/>
              </w:rPr>
              <w:t>Agitation 13.0%. Independent risks were bi-frontal pneumocephalus (OR 4.4) and delayed extubation. Agitation predicted poor mRS (OR 5.4).</w:t>
            </w:r>
          </w:p>
        </w:tc>
        <w:tc>
          <w:tcPr>
            <w:tcW w:type="dxa" w:w="1322"/>
          </w:tcPr>
          <w:p>
            <w:r>
              <w:rPr>
                <w:rFonts w:ascii="Times New Roman" w:hAnsi="Times New Roman" w:eastAsia="Times New Roman"/>
                <w:b w:val="0"/>
                <w:i w:val="0"/>
                <w:sz w:val="14"/>
              </w:rPr>
              <w:t>Delirium,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Budenas, 2018</w:t>
            </w:r>
            <w:r>
              <w:rPr>
                <w:rFonts w:ascii="Times New Roman" w:hAnsi="Times New Roman"/>
                <w:vertAlign w:val="superscript"/>
                <w:sz w:val="14"/>
              </w:rPr>
              <w:t>37</w:t>
            </w:r>
          </w:p>
        </w:tc>
        <w:tc>
          <w:tcPr>
            <w:tcW w:type="dxa" w:w="926"/>
          </w:tcPr>
          <w:p>
            <w:r>
              <w:rPr>
                <w:rFonts w:ascii="Times New Roman" w:hAnsi="Times New Roman" w:eastAsia="Times New Roman"/>
                <w:b w:val="0"/>
                <w:i w:val="0"/>
                <w:sz w:val="14"/>
              </w:rPr>
              <w:t>Lithuania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Mixed brain tumors, n = 522</w:t>
            </w:r>
          </w:p>
        </w:tc>
        <w:tc>
          <w:tcPr>
            <w:tcW w:type="dxa" w:w="1653"/>
          </w:tcPr>
          <w:p>
            <w:r>
              <w:rPr>
                <w:rFonts w:ascii="Times New Roman" w:hAnsi="Times New Roman" w:eastAsia="Times New Roman"/>
                <w:b w:val="0"/>
                <w:i w:val="0"/>
                <w:sz w:val="14"/>
              </w:rPr>
              <w:t>Cranial surgery</w:t>
            </w:r>
          </w:p>
        </w:tc>
        <w:tc>
          <w:tcPr>
            <w:tcW w:type="dxa" w:w="4100"/>
          </w:tcPr>
          <w:p>
            <w:r>
              <w:rPr>
                <w:rFonts w:ascii="Times New Roman" w:hAnsi="Times New Roman" w:eastAsia="Times New Roman"/>
                <w:b w:val="0"/>
                <w:i w:val="0"/>
                <w:sz w:val="14"/>
              </w:rPr>
              <w:t>Delirium 4.2%. Predictors were age 65 or older, low education, poor function, and low hemoglobin. Delirium predicted unfavorable discharge outcome (OR 5.3). Histology was not associated.</w:t>
            </w:r>
          </w:p>
        </w:tc>
        <w:tc>
          <w:tcPr>
            <w:tcW w:type="dxa" w:w="1322"/>
          </w:tcPr>
          <w:p>
            <w:r>
              <w:rPr>
                <w:rFonts w:ascii="Times New Roman" w:hAnsi="Times New Roman" w:eastAsia="Times New Roman"/>
                <w:b w:val="0"/>
                <w:i w:val="0"/>
                <w:sz w:val="14"/>
              </w:rPr>
              <w:t>Delirium, Inflammatory marker,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Chen, 2020</w:t>
            </w:r>
            <w:r>
              <w:rPr>
                <w:rFonts w:ascii="Times New Roman" w:hAnsi="Times New Roman"/>
                <w:vertAlign w:val="superscript"/>
                <w:sz w:val="14"/>
              </w:rPr>
              <w:t>38</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Cross-sectional study</w:t>
            </w:r>
          </w:p>
        </w:tc>
        <w:tc>
          <w:tcPr>
            <w:tcW w:type="dxa" w:w="1653"/>
          </w:tcPr>
          <w:p>
            <w:r>
              <w:rPr>
                <w:rFonts w:ascii="Times New Roman" w:hAnsi="Times New Roman" w:eastAsia="Times New Roman"/>
                <w:b w:val="0"/>
                <w:i w:val="0"/>
                <w:sz w:val="14"/>
              </w:rPr>
              <w:t>Mixed brain tumors, n = 893</w:t>
            </w:r>
          </w:p>
        </w:tc>
        <w:tc>
          <w:tcPr>
            <w:tcW w:type="dxa" w:w="1653"/>
          </w:tcPr>
          <w:p>
            <w:r>
              <w:rPr>
                <w:rFonts w:ascii="Times New Roman" w:hAnsi="Times New Roman" w:eastAsia="Times New Roman"/>
                <w:b w:val="0"/>
                <w:i w:val="0"/>
                <w:sz w:val="14"/>
              </w:rPr>
              <w:t>Craniotomy</w:t>
            </w:r>
          </w:p>
        </w:tc>
        <w:tc>
          <w:tcPr>
            <w:tcW w:type="dxa" w:w="4100"/>
          </w:tcPr>
          <w:p>
            <w:r>
              <w:rPr>
                <w:rFonts w:ascii="Times New Roman" w:hAnsi="Times New Roman" w:eastAsia="Times New Roman"/>
                <w:b w:val="0"/>
                <w:i w:val="0"/>
                <w:sz w:val="14"/>
              </w:rPr>
              <w:t>Delirium 14.78%. Independent predictors were restraint, age over 50, longer operation, electrolyte disturbance, and tobacco use. Meningioma was protective (AUC 0.787).</w:t>
            </w:r>
          </w:p>
        </w:tc>
        <w:tc>
          <w:tcPr>
            <w:tcW w:type="dxa" w:w="1322"/>
          </w:tcPr>
          <w:p>
            <w:r>
              <w:rPr>
                <w:rFonts w:ascii="Times New Roman" w:hAnsi="Times New Roman" w:eastAsia="Times New Roman"/>
                <w:b w:val="0"/>
                <w:i w:val="0"/>
                <w:sz w:val="14"/>
              </w:rPr>
              <w:t>Delirium</w:t>
            </w:r>
          </w:p>
        </w:tc>
        <w:tc>
          <w:tcPr>
            <w:tcW w:type="dxa" w:w="595"/>
          </w:tcPr>
          <w:p>
            <w:r>
              <w:rPr>
                <w:rFonts w:ascii="Times New Roman" w:hAnsi="Times New Roman" w:eastAsia="Times New Roman"/>
                <w:b w:val="0"/>
                <w:i w:val="0"/>
                <w:sz w:val="14"/>
              </w:rPr>
              <w:t>4</w:t>
            </w:r>
          </w:p>
        </w:tc>
      </w:tr>
      <w:tr>
        <w:trPr>
          <w:cantSplit w:val="true"/>
        </w:trPr>
        <w:tc>
          <w:tcPr>
            <w:tcW w:type="dxa" w:w="1521"/>
          </w:tcPr>
          <w:p>
            <w:r>
              <w:rPr>
                <w:rFonts w:ascii="Times New Roman" w:hAnsi="Times New Roman" w:eastAsia="Times New Roman"/>
                <w:b w:val="0"/>
                <w:i w:val="0"/>
                <w:sz w:val="14"/>
              </w:rPr>
              <w:t>Gu, 2022</w:t>
            </w:r>
            <w:r>
              <w:rPr>
                <w:rFonts w:ascii="Times New Roman" w:hAnsi="Times New Roman"/>
                <w:vertAlign w:val="superscript"/>
                <w:sz w:val="14"/>
              </w:rPr>
              <w:t>39</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Retrospective cohort</w:t>
            </w:r>
          </w:p>
        </w:tc>
        <w:tc>
          <w:tcPr>
            <w:tcW w:type="dxa" w:w="1653"/>
          </w:tcPr>
          <w:p>
            <w:r>
              <w:rPr>
                <w:rFonts w:ascii="Times New Roman" w:hAnsi="Times New Roman" w:eastAsia="Times New Roman"/>
                <w:b w:val="0"/>
                <w:i w:val="0"/>
                <w:sz w:val="14"/>
              </w:rPr>
              <w:t>Mixed brain tumors, n = 618</w:t>
            </w:r>
          </w:p>
        </w:tc>
        <w:tc>
          <w:tcPr>
            <w:tcW w:type="dxa" w:w="1653"/>
          </w:tcPr>
          <w:p>
            <w:r>
              <w:rPr>
                <w:rFonts w:ascii="Times New Roman" w:hAnsi="Times New Roman" w:eastAsia="Times New Roman"/>
                <w:b w:val="0"/>
                <w:i w:val="0"/>
                <w:sz w:val="14"/>
              </w:rPr>
              <w:t>Craniotomy with ICU admission</w:t>
            </w:r>
          </w:p>
        </w:tc>
        <w:tc>
          <w:tcPr>
            <w:tcW w:type="dxa" w:w="4100"/>
          </w:tcPr>
          <w:p>
            <w:r>
              <w:rPr>
                <w:rFonts w:ascii="Times New Roman" w:hAnsi="Times New Roman" w:eastAsia="Times New Roman"/>
                <w:b w:val="0"/>
                <w:i w:val="0"/>
                <w:sz w:val="14"/>
              </w:rPr>
              <w:t>Emergence delirium 21.2%, mostly hypoactive. Later postoperative delirium occurred in 58.8% with and 4.7% without emergence delirium.</w:t>
            </w:r>
          </w:p>
        </w:tc>
        <w:tc>
          <w:tcPr>
            <w:tcW w:type="dxa" w:w="1322"/>
          </w:tcPr>
          <w:p>
            <w:r>
              <w:rPr>
                <w:rFonts w:ascii="Times New Roman" w:hAnsi="Times New Roman" w:eastAsia="Times New Roman"/>
                <w:b w:val="0"/>
                <w:i w:val="0"/>
                <w:sz w:val="14"/>
              </w:rPr>
              <w:t>Delirium</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Fu, 2024</w:t>
            </w:r>
            <w:r>
              <w:rPr>
                <w:rFonts w:ascii="Times New Roman" w:hAnsi="Times New Roman"/>
                <w:vertAlign w:val="superscript"/>
                <w:sz w:val="14"/>
              </w:rPr>
              <w:t>40</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Registry cohort</w:t>
            </w:r>
          </w:p>
        </w:tc>
        <w:tc>
          <w:tcPr>
            <w:tcW w:type="dxa" w:w="1653"/>
          </w:tcPr>
          <w:p>
            <w:r>
              <w:rPr>
                <w:rFonts w:ascii="Times New Roman" w:hAnsi="Times New Roman" w:eastAsia="Times New Roman"/>
                <w:b w:val="0"/>
                <w:i w:val="0"/>
                <w:sz w:val="14"/>
              </w:rPr>
              <w:t>Brain tumors, n = 28,340</w:t>
            </w:r>
          </w:p>
        </w:tc>
        <w:tc>
          <w:tcPr>
            <w:tcW w:type="dxa" w:w="1653"/>
          </w:tcPr>
          <w:p>
            <w:r>
              <w:rPr>
                <w:rFonts w:ascii="Times New Roman" w:hAnsi="Times New Roman" w:eastAsia="Times New Roman"/>
                <w:b w:val="0"/>
                <w:i w:val="0"/>
                <w:sz w:val="14"/>
              </w:rPr>
              <w:t>Craniotomy (National Inpatient Sample)</w:t>
            </w:r>
          </w:p>
        </w:tc>
        <w:tc>
          <w:tcPr>
            <w:tcW w:type="dxa" w:w="4100"/>
          </w:tcPr>
          <w:p>
            <w:r>
              <w:rPr>
                <w:rFonts w:ascii="Times New Roman" w:hAnsi="Times New Roman" w:eastAsia="Times New Roman"/>
                <w:b w:val="0"/>
                <w:i w:val="0"/>
                <w:sz w:val="14"/>
              </w:rPr>
              <w:t>Delirium 4.79% by ICD codes, with 4 days longer stay, higher mortality (2.36% vs 1.28%), and more frequent three or more comorbidities.</w:t>
            </w:r>
          </w:p>
        </w:tc>
        <w:tc>
          <w:tcPr>
            <w:tcW w:type="dxa" w:w="1322"/>
          </w:tcPr>
          <w:p>
            <w:r>
              <w:rPr>
                <w:rFonts w:ascii="Times New Roman" w:hAnsi="Times New Roman" w:eastAsia="Times New Roman"/>
                <w:b w:val="0"/>
                <w:i w:val="0"/>
                <w:sz w:val="14"/>
              </w:rPr>
              <w:t>Frailty index, Delirium</w:t>
            </w:r>
          </w:p>
        </w:tc>
        <w:tc>
          <w:tcPr>
            <w:tcW w:type="dxa" w:w="595"/>
          </w:tcPr>
          <w:p>
            <w:r>
              <w:rPr>
                <w:rFonts w:ascii="Times New Roman" w:hAnsi="Times New Roman" w:eastAsia="Times New Roman"/>
                <w:b w:val="0"/>
                <w:i w:val="0"/>
                <w:sz w:val="14"/>
              </w:rPr>
              <w:t>3</w:t>
            </w:r>
          </w:p>
        </w:tc>
      </w:tr>
      <w:tr>
        <w:trPr>
          <w:cantSplit w:val="true"/>
        </w:trPr>
        <w:tc>
          <w:tcPr>
            <w:tcW w:type="dxa" w:w="1521"/>
          </w:tcPr>
          <w:p>
            <w:r>
              <w:rPr>
                <w:rFonts w:ascii="Times New Roman" w:hAnsi="Times New Roman" w:eastAsia="Times New Roman"/>
                <w:b w:val="0"/>
                <w:i w:val="0"/>
                <w:sz w:val="14"/>
              </w:rPr>
              <w:t>Wu, 2025</w:t>
            </w:r>
            <w:r>
              <w:rPr>
                <w:rFonts w:ascii="Times New Roman" w:hAnsi="Times New Roman"/>
                <w:vertAlign w:val="superscript"/>
                <w:sz w:val="14"/>
              </w:rPr>
              <w:t>41</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Secondary analysis of RCT</w:t>
            </w:r>
          </w:p>
        </w:tc>
        <w:tc>
          <w:tcPr>
            <w:tcW w:type="dxa" w:w="1653"/>
          </w:tcPr>
          <w:p>
            <w:r>
              <w:rPr>
                <w:rFonts w:ascii="Times New Roman" w:hAnsi="Times New Roman" w:eastAsia="Times New Roman"/>
                <w:b w:val="0"/>
                <w:i w:val="0"/>
                <w:sz w:val="14"/>
              </w:rPr>
              <w:t>Frontotemporal tumors, n = 240</w:t>
            </w:r>
          </w:p>
        </w:tc>
        <w:tc>
          <w:tcPr>
            <w:tcW w:type="dxa" w:w="1653"/>
          </w:tcPr>
          <w:p>
            <w:r>
              <w:rPr>
                <w:rFonts w:ascii="Times New Roman" w:hAnsi="Times New Roman" w:eastAsia="Times New Roman"/>
                <w:b w:val="0"/>
                <w:i w:val="0"/>
                <w:sz w:val="14"/>
              </w:rPr>
              <w:t>Craniotomy, intraoperative hypotension</w:t>
            </w:r>
          </w:p>
        </w:tc>
        <w:tc>
          <w:tcPr>
            <w:tcW w:type="dxa" w:w="4100"/>
          </w:tcPr>
          <w:p>
            <w:r>
              <w:rPr>
                <w:rFonts w:ascii="Times New Roman" w:hAnsi="Times New Roman" w:eastAsia="Times New Roman"/>
                <w:b w:val="0"/>
                <w:i w:val="0"/>
                <w:sz w:val="14"/>
              </w:rPr>
              <w:t>Delirium 35%. Mean arterial pressure below 65 mmHg was not associated with delirium. Glioma, age, and hypertension raised risk. Higher MMSE and dexmedetomidine were protective.</w:t>
            </w:r>
          </w:p>
        </w:tc>
        <w:tc>
          <w:tcPr>
            <w:tcW w:type="dxa" w:w="1322"/>
          </w:tcPr>
          <w:p>
            <w:r>
              <w:rPr>
                <w:rFonts w:ascii="Times New Roman" w:hAnsi="Times New Roman" w:eastAsia="Times New Roman"/>
                <w:b w:val="0"/>
                <w:i w:val="0"/>
                <w:sz w:val="14"/>
              </w:rPr>
              <w:t>Delirium, Hemodynamic, Cognition</w:t>
            </w:r>
          </w:p>
        </w:tc>
        <w:tc>
          <w:tcPr>
            <w:tcW w:type="dxa" w:w="595"/>
          </w:tcPr>
          <w:p>
            <w:r>
              <w:rPr>
                <w:rFonts w:ascii="Times New Roman" w:hAnsi="Times New Roman" w:eastAsia="Times New Roman"/>
                <w:b w:val="0"/>
                <w:i w:val="0"/>
                <w:sz w:val="14"/>
              </w:rPr>
              <w:t>3</w:t>
            </w:r>
          </w:p>
        </w:tc>
      </w:tr>
      <w:tr>
        <w:trPr>
          <w:cantSplit w:val="true"/>
        </w:trPr>
        <w:tc>
          <w:tcPr>
            <w:tcW w:type="dxa" w:w="12960"/>
            <w:gridSpan w:val="8"/>
          </w:tcPr>
          <w:p>
            <w:pPr>
              <w:keepNext/>
            </w:pPr>
            <w:r>
              <w:rPr>
                <w:rFonts w:ascii="Times New Roman" w:hAnsi="Times New Roman" w:eastAsia="Times New Roman"/>
                <w:b/>
                <w:i/>
                <w:sz w:val="15"/>
              </w:rPr>
              <w:t>Perioperative brain injury, imaging, and biomarkers (n = 10)</w:t>
            </w:r>
          </w:p>
        </w:tc>
      </w:tr>
      <w:tr>
        <w:trPr>
          <w:cantSplit w:val="true"/>
        </w:trPr>
        <w:tc>
          <w:tcPr>
            <w:tcW w:type="dxa" w:w="1521"/>
          </w:tcPr>
          <w:p>
            <w:r>
              <w:rPr>
                <w:rFonts w:ascii="Times New Roman" w:hAnsi="Times New Roman" w:eastAsia="Times New Roman"/>
                <w:b w:val="0"/>
                <w:i w:val="0"/>
                <w:sz w:val="14"/>
              </w:rPr>
              <w:t>Stranjalis, 2005</w:t>
            </w:r>
            <w:r>
              <w:rPr>
                <w:rFonts w:ascii="Times New Roman" w:hAnsi="Times New Roman"/>
                <w:vertAlign w:val="superscript"/>
                <w:sz w:val="14"/>
              </w:rPr>
              <w:t>42</w:t>
            </w:r>
          </w:p>
        </w:tc>
        <w:tc>
          <w:tcPr>
            <w:tcW w:type="dxa" w:w="926"/>
          </w:tcPr>
          <w:p>
            <w:r>
              <w:rPr>
                <w:rFonts w:ascii="Times New Roman" w:hAnsi="Times New Roman" w:eastAsia="Times New Roman"/>
                <w:b w:val="0"/>
                <w:i w:val="0"/>
                <w:sz w:val="14"/>
              </w:rPr>
              <w:t>Greece</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Meningioma, n = 50</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S100B above 0.4 ug/L carried a 9-fold risk of neurologic deterioration (95% CI 2.4 to 34) and an 11-fold risk of poor 6-month outcome. Early deterioration occurred in 50%.</w:t>
            </w:r>
          </w:p>
        </w:tc>
        <w:tc>
          <w:tcPr>
            <w:tcW w:type="dxa" w:w="1322"/>
          </w:tcPr>
          <w:p>
            <w:r>
              <w:rPr>
                <w:rFonts w:ascii="Times New Roman" w:hAnsi="Times New Roman" w:eastAsia="Times New Roman"/>
                <w:b w:val="0"/>
                <w:i w:val="0"/>
                <w:sz w:val="14"/>
              </w:rPr>
              <w:t>Injury biomarker, Neurological or functional,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Einav, 2006</w:t>
            </w:r>
            <w:r>
              <w:rPr>
                <w:rFonts w:ascii="Times New Roman" w:hAnsi="Times New Roman"/>
                <w:vertAlign w:val="superscript"/>
                <w:sz w:val="14"/>
              </w:rPr>
              <w:t>43</w:t>
            </w:r>
          </w:p>
        </w:tc>
        <w:tc>
          <w:tcPr>
            <w:tcW w:type="dxa" w:w="926"/>
          </w:tcPr>
          <w:p>
            <w:r>
              <w:rPr>
                <w:rFonts w:ascii="Times New Roman" w:hAnsi="Times New Roman" w:eastAsia="Times New Roman"/>
                <w:b w:val="0"/>
                <w:i w:val="0"/>
                <w:sz w:val="14"/>
              </w:rPr>
              <w:t>Israel</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Supratentorial meningioma, n = 52</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S100B rose from 0.065 to 0.155 ug/L by 48 h (p &lt; .0001), higher with bleeding and midline shift. MMSE deterioration correlated with S100B at all times (p = .005, .011, .036).</w:t>
            </w:r>
          </w:p>
        </w:tc>
        <w:tc>
          <w:tcPr>
            <w:tcW w:type="dxa" w:w="1322"/>
          </w:tcPr>
          <w:p>
            <w:r>
              <w:rPr>
                <w:rFonts w:ascii="Times New Roman" w:hAnsi="Times New Roman" w:eastAsia="Times New Roman"/>
                <w:b w:val="0"/>
                <w:i w:val="0"/>
                <w:sz w:val="14"/>
              </w:rPr>
              <w:t>Injury biomarker, 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Khan, 2006</w:t>
            </w:r>
            <w:r>
              <w:rPr>
                <w:rFonts w:ascii="Times New Roman" w:hAnsi="Times New Roman"/>
                <w:vertAlign w:val="superscript"/>
                <w:sz w:val="14"/>
              </w:rPr>
              <w:t>44</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Mixed tumors, mainly glioma and metastasis, n = 80</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Positive postoperative DWI in 19%. A new DWI lesion was the only multivariable predictor of incomplete recovery at day 7 and day 30 (both p = .005). New deficit in 30%.</w:t>
            </w:r>
          </w:p>
        </w:tc>
        <w:tc>
          <w:tcPr>
            <w:tcW w:type="dxa" w:w="1322"/>
          </w:tcPr>
          <w:p>
            <w:r>
              <w:rPr>
                <w:rFonts w:ascii="Times New Roman" w:hAnsi="Times New Roman" w:eastAsia="Times New Roman"/>
                <w:b w:val="0"/>
                <w:i w:val="0"/>
                <w:sz w:val="14"/>
              </w:rPr>
              <w:t>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Sharma, 2010</w:t>
            </w:r>
            <w:r>
              <w:rPr>
                <w:rFonts w:ascii="Times New Roman" w:hAnsi="Times New Roman"/>
                <w:vertAlign w:val="superscript"/>
                <w:sz w:val="14"/>
              </w:rPr>
              <w:t>45</w:t>
            </w:r>
          </w:p>
        </w:tc>
        <w:tc>
          <w:tcPr>
            <w:tcW w:type="dxa" w:w="926"/>
          </w:tcPr>
          <w:p>
            <w:r>
              <w:rPr>
                <w:rFonts w:ascii="Times New Roman" w:hAnsi="Times New Roman" w:eastAsia="Times New Roman"/>
                <w:b w:val="0"/>
                <w:i w:val="0"/>
                <w:sz w:val="14"/>
              </w:rPr>
              <w:t>India, USA</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Supratentorial tumors, n = 35</w:t>
            </w:r>
          </w:p>
        </w:tc>
        <w:tc>
          <w:tcPr>
            <w:tcW w:type="dxa" w:w="1653"/>
          </w:tcPr>
          <w:p>
            <w:r>
              <w:rPr>
                <w:rFonts w:ascii="Times New Roman" w:hAnsi="Times New Roman" w:eastAsia="Times New Roman"/>
                <w:b w:val="0"/>
                <w:i w:val="0"/>
                <w:sz w:val="14"/>
              </w:rPr>
              <w:t>Resection under isoflurane and nitrous oxide</w:t>
            </w:r>
          </w:p>
        </w:tc>
        <w:tc>
          <w:tcPr>
            <w:tcW w:type="dxa" w:w="4100"/>
          </w:tcPr>
          <w:p>
            <w:r>
              <w:rPr>
                <w:rFonts w:ascii="Times New Roman" w:hAnsi="Times New Roman" w:eastAsia="Times New Roman"/>
                <w:b w:val="0"/>
                <w:i w:val="0"/>
                <w:sz w:val="14"/>
              </w:rPr>
              <w:t>Autoregulation impaired before surgery in 7 of 35 (20%) and stayed impaired in all 7 afterward. Larger tumor and midline shift &gt; 5 mm were risk factors. CO2 reactivity unchanged.</w:t>
            </w:r>
          </w:p>
        </w:tc>
        <w:tc>
          <w:tcPr>
            <w:tcW w:type="dxa" w:w="1322"/>
          </w:tcPr>
          <w:p>
            <w:r>
              <w:rPr>
                <w:rFonts w:ascii="Times New Roman" w:hAnsi="Times New Roman" w:eastAsia="Times New Roman"/>
                <w:b w:val="0"/>
                <w:i w:val="0"/>
                <w:sz w:val="14"/>
              </w:rPr>
              <w:t>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Gempt, 2013 (MEP)</w:t>
            </w:r>
            <w:r>
              <w:rPr>
                <w:rFonts w:ascii="Times New Roman" w:hAnsi="Times New Roman"/>
                <w:vertAlign w:val="superscript"/>
                <w:sz w:val="14"/>
              </w:rPr>
              <w:t>46</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in motor eloquent areas, n = 70</w:t>
            </w:r>
          </w:p>
        </w:tc>
        <w:tc>
          <w:tcPr>
            <w:tcW w:type="dxa" w:w="1653"/>
          </w:tcPr>
          <w:p>
            <w:r>
              <w:rPr>
                <w:rFonts w:ascii="Times New Roman" w:hAnsi="Times New Roman" w:eastAsia="Times New Roman"/>
                <w:b w:val="0"/>
                <w:i w:val="0"/>
                <w:sz w:val="14"/>
              </w:rPr>
              <w:t>Resection with MEP monitoring</w:t>
            </w:r>
          </w:p>
        </w:tc>
        <w:tc>
          <w:tcPr>
            <w:tcW w:type="dxa" w:w="4100"/>
          </w:tcPr>
          <w:p>
            <w:r>
              <w:rPr>
                <w:rFonts w:ascii="Times New Roman" w:hAnsi="Times New Roman" w:eastAsia="Times New Roman"/>
                <w:b w:val="0"/>
                <w:i w:val="0"/>
                <w:sz w:val="14"/>
              </w:rPr>
              <w:t>Ischemic lesions in 46% (32 of 70), present in 76% with MEP decline &gt; 50% versus 33% without. Permanent motor deficit in 14%.</w:t>
            </w:r>
          </w:p>
        </w:tc>
        <w:tc>
          <w:tcPr>
            <w:tcW w:type="dxa" w:w="1322"/>
          </w:tcPr>
          <w:p>
            <w:r>
              <w:rPr>
                <w:rFonts w:ascii="Times New Roman" w:hAnsi="Times New Roman" w:eastAsia="Times New Roman"/>
                <w:b w:val="0"/>
                <w:i w:val="0"/>
                <w:sz w:val="14"/>
              </w:rPr>
              <w:t>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Gempt, 2013 (recurrence)</w:t>
            </w:r>
            <w:r>
              <w:rPr>
                <w:rFonts w:ascii="Times New Roman" w:hAnsi="Times New Roman"/>
                <w:vertAlign w:val="superscript"/>
                <w:sz w:val="14"/>
              </w:rPr>
              <w:t>47</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 = 100 (109 operations)</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New ischemic lesions in 31% of newly diagnosed and 80% of recurrent tumors (p &lt; .01). New deficits were more frequent with lesions (p &lt; .05).</w:t>
            </w:r>
          </w:p>
        </w:tc>
        <w:tc>
          <w:tcPr>
            <w:tcW w:type="dxa" w:w="1322"/>
          </w:tcPr>
          <w:p>
            <w:r>
              <w:rPr>
                <w:rFonts w:ascii="Times New Roman" w:hAnsi="Times New Roman" w:eastAsia="Times New Roman"/>
                <w:b w:val="0"/>
                <w:i w:val="0"/>
                <w:sz w:val="14"/>
              </w:rPr>
              <w:t>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Baumgarten, 2018</w:t>
            </w:r>
            <w:r>
              <w:rPr>
                <w:rFonts w:ascii="Times New Roman" w:hAnsi="Times New Roman"/>
                <w:vertAlign w:val="superscript"/>
                <w:sz w:val="14"/>
              </w:rPr>
              <w:t>48</w:t>
            </w:r>
          </w:p>
        </w:tc>
        <w:tc>
          <w:tcPr>
            <w:tcW w:type="dxa" w:w="926"/>
          </w:tcPr>
          <w:p>
            <w:r>
              <w:rPr>
                <w:rFonts w:ascii="Times New Roman" w:hAnsi="Times New Roman" w:eastAsia="Times New Roman"/>
                <w:b w:val="0"/>
                <w:i w:val="0"/>
                <w:sz w:val="14"/>
              </w:rPr>
              <w:t>Germany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 = 25, metastasis n = 7</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Serum GFAP rose after surgery in glioblastoma (p = .0172) and peaked on day 1. Baseline GFAP was higher in glioma than metastasis (0.18 vs 0.08 ug/L). No link with residual tumor.</w:t>
            </w:r>
          </w:p>
        </w:tc>
        <w:tc>
          <w:tcPr>
            <w:tcW w:type="dxa" w:w="1322"/>
          </w:tcPr>
          <w:p>
            <w:r>
              <w:rPr>
                <w:rFonts w:ascii="Times New Roman" w:hAnsi="Times New Roman" w:eastAsia="Times New Roman"/>
                <w:b w:val="0"/>
                <w:i w:val="0"/>
                <w:sz w:val="14"/>
              </w:rPr>
              <w:t>Injury biomarker,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Strand, 2021 (glioma)</w:t>
            </w:r>
            <w:r>
              <w:rPr>
                <w:rFonts w:ascii="Times New Roman" w:hAnsi="Times New Roman"/>
                <w:vertAlign w:val="superscript"/>
                <w:sz w:val="14"/>
              </w:rPr>
              <w:t>49</w:t>
            </w:r>
          </w:p>
        </w:tc>
        <w:tc>
          <w:tcPr>
            <w:tcW w:type="dxa" w:w="926"/>
          </w:tcPr>
          <w:p>
            <w:r>
              <w:rPr>
                <w:rFonts w:ascii="Times New Roman" w:hAnsi="Times New Roman" w:eastAsia="Times New Roman"/>
                <w:b w:val="0"/>
                <w:i w:val="0"/>
                <w:sz w:val="14"/>
              </w:rPr>
              <w:t>Norway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Diffuse glioma, 539 operations</w:t>
            </w:r>
          </w:p>
        </w:tc>
        <w:tc>
          <w:tcPr>
            <w:tcW w:type="dxa" w:w="1653"/>
          </w:tcPr>
          <w:p>
            <w:r>
              <w:rPr>
                <w:rFonts w:ascii="Times New Roman" w:hAnsi="Times New Roman" w:eastAsia="Times New Roman"/>
                <w:b w:val="0"/>
                <w:i w:val="0"/>
                <w:sz w:val="14"/>
              </w:rPr>
              <w:t>Resection or reoperation</w:t>
            </w:r>
          </w:p>
        </w:tc>
        <w:tc>
          <w:tcPr>
            <w:tcW w:type="dxa" w:w="4100"/>
          </w:tcPr>
          <w:p>
            <w:r>
              <w:rPr>
                <w:rFonts w:ascii="Times New Roman" w:hAnsi="Times New Roman" w:eastAsia="Times New Roman"/>
                <w:b w:val="0"/>
                <w:i w:val="0"/>
                <w:sz w:val="14"/>
              </w:rPr>
              <w:t>DWI infarction in 44.2% (238 of 539), related to tumor volume (r = .267), bleeding (r = .176), and age (r = .193). Rates differed between surgeons (32% to 72%).</w:t>
            </w:r>
          </w:p>
        </w:tc>
        <w:tc>
          <w:tcPr>
            <w:tcW w:type="dxa" w:w="1322"/>
          </w:tcPr>
          <w:p>
            <w:r>
              <w:rPr>
                <w:rFonts w:ascii="Times New Roman" w:hAnsi="Times New Roman" w:eastAsia="Times New Roman"/>
                <w:b w:val="0"/>
                <w:i w:val="0"/>
                <w:sz w:val="14"/>
              </w:rPr>
              <w:t>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Strand, 2022 (meningioma)</w:t>
            </w:r>
            <w:r>
              <w:rPr>
                <w:rFonts w:ascii="Times New Roman" w:hAnsi="Times New Roman"/>
                <w:vertAlign w:val="superscript"/>
                <w:sz w:val="14"/>
              </w:rPr>
              <w:t>50</w:t>
            </w:r>
          </w:p>
        </w:tc>
        <w:tc>
          <w:tcPr>
            <w:tcW w:type="dxa" w:w="926"/>
          </w:tcPr>
          <w:p>
            <w:r>
              <w:rPr>
                <w:rFonts w:ascii="Times New Roman" w:hAnsi="Times New Roman" w:eastAsia="Times New Roman"/>
                <w:b w:val="0"/>
                <w:i w:val="0"/>
                <w:sz w:val="14"/>
              </w:rPr>
              <w:t>Norway</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Meningioma WHO 1 to 3, 327 operations</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DWI infarction in 34.9% (114 of 327). Permanent deficit in 6.7%, 72.7% of them with infarction (p &lt; .001). Age predicted infarction (OR 1.03 per year).</w:t>
            </w:r>
          </w:p>
        </w:tc>
        <w:tc>
          <w:tcPr>
            <w:tcW w:type="dxa" w:w="1322"/>
          </w:tcPr>
          <w:p>
            <w:r>
              <w:rPr>
                <w:rFonts w:ascii="Times New Roman" w:hAnsi="Times New Roman" w:eastAsia="Times New Roman"/>
                <w:b w:val="0"/>
                <w:i w:val="0"/>
                <w:sz w:val="14"/>
              </w:rPr>
              <w:t>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Michaelsson, 2023</w:t>
            </w:r>
            <w:r>
              <w:rPr>
                <w:rFonts w:ascii="Times New Roman" w:hAnsi="Times New Roman"/>
                <w:vertAlign w:val="superscript"/>
                <w:sz w:val="14"/>
              </w:rPr>
              <w:t>51</w:t>
            </w:r>
          </w:p>
        </w:tc>
        <w:tc>
          <w:tcPr>
            <w:tcW w:type="dxa" w:w="926"/>
          </w:tcPr>
          <w:p>
            <w:r>
              <w:rPr>
                <w:rFonts w:ascii="Times New Roman" w:hAnsi="Times New Roman" w:eastAsia="Times New Roman"/>
                <w:b w:val="0"/>
                <w:i w:val="0"/>
                <w:sz w:val="14"/>
              </w:rPr>
              <w:t>Sweden</w:t>
            </w:r>
          </w:p>
        </w:tc>
        <w:tc>
          <w:tcPr>
            <w:tcW w:type="dxa" w:w="1190"/>
          </w:tcPr>
          <w:p>
            <w:r>
              <w:rPr>
                <w:rFonts w:ascii="Times New Roman" w:hAnsi="Times New Roman" w:eastAsia="Times New Roman"/>
                <w:b w:val="0"/>
                <w:i w:val="0"/>
                <w:sz w:val="14"/>
              </w:rPr>
              <w:t>Prospective cohort</w:t>
            </w:r>
          </w:p>
        </w:tc>
        <w:tc>
          <w:tcPr>
            <w:tcW w:type="dxa" w:w="1653"/>
          </w:tcPr>
          <w:p>
            <w:r>
              <w:rPr>
                <w:rFonts w:ascii="Times New Roman" w:hAnsi="Times New Roman" w:eastAsia="Times New Roman"/>
                <w:b w:val="0"/>
                <w:i w:val="0"/>
                <w:sz w:val="14"/>
              </w:rPr>
              <w:t>Glioma, n = 34</w:t>
            </w:r>
          </w:p>
        </w:tc>
        <w:tc>
          <w:tcPr>
            <w:tcW w:type="dxa" w:w="1653"/>
          </w:tcPr>
          <w:p>
            <w:r>
              <w:rPr>
                <w:rFonts w:ascii="Times New Roman" w:hAnsi="Times New Roman" w:eastAsia="Times New Roman"/>
                <w:b w:val="0"/>
                <w:i w:val="0"/>
                <w:sz w:val="14"/>
              </w:rPr>
              <w:t>Resection</w:t>
            </w:r>
          </w:p>
        </w:tc>
        <w:tc>
          <w:tcPr>
            <w:tcW w:type="dxa" w:w="4100"/>
          </w:tcPr>
          <w:p>
            <w:r>
              <w:rPr>
                <w:rFonts w:ascii="Times New Roman" w:hAnsi="Times New Roman" w:eastAsia="Times New Roman"/>
                <w:b w:val="0"/>
                <w:i w:val="0"/>
                <w:sz w:val="14"/>
              </w:rPr>
              <w:t>Plasma GFAP, tau, and NfL rose on days 1 and 3 (p &lt; .001). NfL had a second peak at day 10 (p = .028). Day 1 GFAP and NfL were higher with new deficits (p = .048, p = .043).</w:t>
            </w:r>
          </w:p>
        </w:tc>
        <w:tc>
          <w:tcPr>
            <w:tcW w:type="dxa" w:w="1322"/>
          </w:tcPr>
          <w:p>
            <w:r>
              <w:rPr>
                <w:rFonts w:ascii="Times New Roman" w:hAnsi="Times New Roman" w:eastAsia="Times New Roman"/>
                <w:b w:val="0"/>
                <w:i w:val="0"/>
                <w:sz w:val="14"/>
              </w:rPr>
              <w:t>Injury biomarker, 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2960"/>
            <w:gridSpan w:val="8"/>
          </w:tcPr>
          <w:p>
            <w:pPr>
              <w:keepNext/>
            </w:pPr>
            <w:r>
              <w:rPr>
                <w:rFonts w:ascii="Times New Roman" w:hAnsi="Times New Roman" w:eastAsia="Times New Roman"/>
                <w:b/>
                <w:i/>
                <w:sz w:val="15"/>
              </w:rPr>
              <w:t>Perioperative interventions and neuroprotective strategies (n = 19)</w:t>
            </w:r>
          </w:p>
        </w:tc>
      </w:tr>
      <w:tr>
        <w:trPr>
          <w:cantSplit w:val="true"/>
        </w:trPr>
        <w:tc>
          <w:tcPr>
            <w:tcW w:type="dxa" w:w="1521"/>
          </w:tcPr>
          <w:p>
            <w:r>
              <w:rPr>
                <w:rFonts w:ascii="Times New Roman" w:hAnsi="Times New Roman" w:eastAsia="Times New Roman"/>
                <w:b w:val="0"/>
                <w:i w:val="0"/>
                <w:sz w:val="14"/>
              </w:rPr>
              <w:t>Favre, 1995</w:t>
            </w:r>
            <w:r>
              <w:rPr>
                <w:rFonts w:ascii="Times New Roman" w:hAnsi="Times New Roman"/>
                <w:vertAlign w:val="superscript"/>
                <w:sz w:val="14"/>
              </w:rPr>
              <w:t>52</w:t>
            </w:r>
          </w:p>
        </w:tc>
        <w:tc>
          <w:tcPr>
            <w:tcW w:type="dxa" w:w="926"/>
          </w:tcPr>
          <w:p>
            <w:r>
              <w:rPr>
                <w:rFonts w:ascii="Times New Roman" w:hAnsi="Times New Roman" w:eastAsia="Times New Roman"/>
                <w:b w:val="0"/>
                <w:i w:val="0"/>
                <w:sz w:val="14"/>
              </w:rPr>
              <w:t>Switzerland</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Cerebral tumors, n = 24</w:t>
            </w:r>
          </w:p>
        </w:tc>
        <w:tc>
          <w:tcPr>
            <w:tcW w:type="dxa" w:w="1653"/>
          </w:tcPr>
          <w:p>
            <w:r>
              <w:rPr>
                <w:rFonts w:ascii="Times New Roman" w:hAnsi="Times New Roman" w:eastAsia="Times New Roman"/>
                <w:b w:val="0"/>
                <w:i w:val="0"/>
                <w:sz w:val="14"/>
              </w:rPr>
              <w:t>Clonidine versus placebo</w:t>
            </w:r>
          </w:p>
        </w:tc>
        <w:tc>
          <w:tcPr>
            <w:tcW w:type="dxa" w:w="4100"/>
          </w:tcPr>
          <w:p>
            <w:r>
              <w:rPr>
                <w:rFonts w:ascii="Times New Roman" w:hAnsi="Times New Roman" w:eastAsia="Times New Roman"/>
                <w:b w:val="0"/>
                <w:i w:val="0"/>
                <w:sz w:val="14"/>
              </w:rPr>
              <w:t>No effect on intracranial pressure. Clonidine lowered mean arterial and cerebral perfusion pressure, with 8 of 12 patients below 60 mmHg versus 2 of 12.</w:t>
            </w:r>
          </w:p>
        </w:tc>
        <w:tc>
          <w:tcPr>
            <w:tcW w:type="dxa" w:w="1322"/>
          </w:tcPr>
          <w:p>
            <w:r>
              <w:rPr>
                <w:rFonts w:ascii="Times New Roman" w:hAnsi="Times New Roman" w:eastAsia="Times New Roman"/>
                <w:b w:val="0"/>
                <w:i w:val="0"/>
                <w:sz w:val="14"/>
              </w:rPr>
              <w:t>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Guy, 1997</w:t>
            </w:r>
            <w:r>
              <w:rPr>
                <w:rFonts w:ascii="Times New Roman" w:hAnsi="Times New Roman"/>
                <w:vertAlign w:val="superscript"/>
                <w:sz w:val="14"/>
              </w:rPr>
              <w:t>53</w:t>
            </w:r>
          </w:p>
        </w:tc>
        <w:tc>
          <w:tcPr>
            <w:tcW w:type="dxa" w:w="926"/>
          </w:tcPr>
          <w:p>
            <w:r>
              <w:rPr>
                <w:rFonts w:ascii="Times New Roman" w:hAnsi="Times New Roman" w:eastAsia="Times New Roman"/>
                <w:b w:val="0"/>
                <w:i w:val="0"/>
                <w:sz w:val="14"/>
              </w:rPr>
              <w:t>USA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lesions, n = 63</w:t>
            </w:r>
          </w:p>
        </w:tc>
        <w:tc>
          <w:tcPr>
            <w:tcW w:type="dxa" w:w="1653"/>
          </w:tcPr>
          <w:p>
            <w:r>
              <w:rPr>
                <w:rFonts w:ascii="Times New Roman" w:hAnsi="Times New Roman" w:eastAsia="Times New Roman"/>
                <w:b w:val="0"/>
                <w:i w:val="0"/>
                <w:sz w:val="14"/>
              </w:rPr>
              <w:t>Remifentanil versus fentanyl</w:t>
            </w:r>
          </w:p>
        </w:tc>
        <w:tc>
          <w:tcPr>
            <w:tcW w:type="dxa" w:w="4100"/>
          </w:tcPr>
          <w:p>
            <w:r>
              <w:rPr>
                <w:rFonts w:ascii="Times New Roman" w:hAnsi="Times New Roman" w:eastAsia="Times New Roman"/>
                <w:b w:val="0"/>
                <w:i w:val="0"/>
                <w:sz w:val="14"/>
              </w:rPr>
              <w:t>Intraoperative ICP and brain relaxation were similar. Neurologic examinations were broadly similar through day 7.</w:t>
            </w:r>
          </w:p>
        </w:tc>
        <w:tc>
          <w:tcPr>
            <w:tcW w:type="dxa" w:w="1322"/>
          </w:tcPr>
          <w:p>
            <w:r>
              <w:rPr>
                <w:rFonts w:ascii="Times New Roman" w:hAnsi="Times New Roman" w:eastAsia="Times New Roman"/>
                <w:b w:val="0"/>
                <w:i w:val="0"/>
                <w:sz w:val="14"/>
              </w:rPr>
              <w:t>Hemodynamic,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Lu, 2010</w:t>
            </w:r>
            <w:r>
              <w:rPr>
                <w:rFonts w:ascii="Times New Roman" w:hAnsi="Times New Roman"/>
                <w:vertAlign w:val="superscript"/>
                <w:sz w:val="14"/>
              </w:rPr>
              <w:t>54</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Mixed brain tumors, n = 32</w:t>
            </w:r>
          </w:p>
        </w:tc>
        <w:tc>
          <w:tcPr>
            <w:tcW w:type="dxa" w:w="1653"/>
          </w:tcPr>
          <w:p>
            <w:r>
              <w:rPr>
                <w:rFonts w:ascii="Times New Roman" w:hAnsi="Times New Roman" w:eastAsia="Times New Roman"/>
                <w:b w:val="0"/>
                <w:i w:val="0"/>
                <w:sz w:val="14"/>
              </w:rPr>
              <w:t>Electroacupuncture preconditioning versus none</w:t>
            </w:r>
          </w:p>
        </w:tc>
        <w:tc>
          <w:tcPr>
            <w:tcW w:type="dxa" w:w="4100"/>
          </w:tcPr>
          <w:p>
            <w:r>
              <w:rPr>
                <w:rFonts w:ascii="Times New Roman" w:hAnsi="Times New Roman" w:eastAsia="Times New Roman"/>
                <w:b w:val="0"/>
                <w:i w:val="0"/>
                <w:sz w:val="14"/>
              </w:rPr>
              <w:t>S100B (1.16 vs 1.47 ug/L) and NSE (24.7 vs 31.4 ug/L) were lower at end of surgery (p &lt; .05).</w:t>
            </w:r>
          </w:p>
        </w:tc>
        <w:tc>
          <w:tcPr>
            <w:tcW w:type="dxa" w:w="1322"/>
          </w:tcPr>
          <w:p>
            <w:r>
              <w:rPr>
                <w:rFonts w:ascii="Times New Roman" w:hAnsi="Times New Roman" w:eastAsia="Times New Roman"/>
                <w:b w:val="0"/>
                <w:i w:val="0"/>
                <w:sz w:val="14"/>
              </w:rPr>
              <w:t>Injury biomarker</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Mousa, 2011</w:t>
            </w:r>
            <w:r>
              <w:rPr>
                <w:rFonts w:ascii="Times New Roman" w:hAnsi="Times New Roman"/>
                <w:vertAlign w:val="superscript"/>
                <w:sz w:val="14"/>
              </w:rPr>
              <w:t>55</w:t>
            </w:r>
          </w:p>
        </w:tc>
        <w:tc>
          <w:tcPr>
            <w:tcW w:type="dxa" w:w="926"/>
          </w:tcPr>
          <w:p>
            <w:r>
              <w:rPr>
                <w:rFonts w:ascii="Times New Roman" w:hAnsi="Times New Roman" w:eastAsia="Times New Roman"/>
                <w:b w:val="0"/>
                <w:i w:val="0"/>
                <w:sz w:val="14"/>
              </w:rPr>
              <w:t>Egypt</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60</w:t>
            </w:r>
          </w:p>
        </w:tc>
        <w:tc>
          <w:tcPr>
            <w:tcW w:type="dxa" w:w="1653"/>
          </w:tcPr>
          <w:p>
            <w:r>
              <w:rPr>
                <w:rFonts w:ascii="Times New Roman" w:hAnsi="Times New Roman" w:eastAsia="Times New Roman"/>
                <w:b w:val="0"/>
                <w:i w:val="0"/>
                <w:sz w:val="14"/>
              </w:rPr>
              <w:t>Crystalloid, colloid, or blood</w:t>
            </w:r>
          </w:p>
        </w:tc>
        <w:tc>
          <w:tcPr>
            <w:tcW w:type="dxa" w:w="4100"/>
          </w:tcPr>
          <w:p>
            <w:r>
              <w:rPr>
                <w:rFonts w:ascii="Times New Roman" w:hAnsi="Times New Roman" w:eastAsia="Times New Roman"/>
                <w:b w:val="0"/>
                <w:i w:val="0"/>
                <w:sz w:val="14"/>
              </w:rPr>
              <w:t>Colloid kept jugular venous oxygen saturation and flow-metabolism coupling higher than crystalloid.</w:t>
            </w:r>
          </w:p>
        </w:tc>
        <w:tc>
          <w:tcPr>
            <w:tcW w:type="dxa" w:w="1322"/>
          </w:tcPr>
          <w:p>
            <w:r>
              <w:rPr>
                <w:rFonts w:ascii="Times New Roman" w:hAnsi="Times New Roman" w:eastAsia="Times New Roman"/>
                <w:b w:val="0"/>
                <w:i w:val="0"/>
                <w:sz w:val="14"/>
              </w:rPr>
              <w:t>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Mirrahimi, 2015</w:t>
            </w:r>
            <w:r>
              <w:rPr>
                <w:rFonts w:ascii="Times New Roman" w:hAnsi="Times New Roman"/>
                <w:vertAlign w:val="superscript"/>
                <w:sz w:val="14"/>
              </w:rPr>
              <w:t>56</w:t>
            </w:r>
          </w:p>
        </w:tc>
        <w:tc>
          <w:tcPr>
            <w:tcW w:type="dxa" w:w="926"/>
          </w:tcPr>
          <w:p>
            <w:r>
              <w:rPr>
                <w:rFonts w:ascii="Times New Roman" w:hAnsi="Times New Roman" w:eastAsia="Times New Roman"/>
                <w:b w:val="0"/>
                <w:i w:val="0"/>
                <w:sz w:val="14"/>
              </w:rPr>
              <w:t>Iran</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60</w:t>
            </w:r>
          </w:p>
        </w:tc>
        <w:tc>
          <w:tcPr>
            <w:tcW w:type="dxa" w:w="1653"/>
          </w:tcPr>
          <w:p>
            <w:r>
              <w:rPr>
                <w:rFonts w:ascii="Times New Roman" w:hAnsi="Times New Roman" w:eastAsia="Times New Roman"/>
                <w:b w:val="0"/>
                <w:i w:val="0"/>
                <w:sz w:val="14"/>
              </w:rPr>
              <w:t>Magnesium versus placebo</w:t>
            </w:r>
          </w:p>
        </w:tc>
        <w:tc>
          <w:tcPr>
            <w:tcW w:type="dxa" w:w="4100"/>
          </w:tcPr>
          <w:p>
            <w:r>
              <w:rPr>
                <w:rFonts w:ascii="Times New Roman" w:hAnsi="Times New Roman" w:eastAsia="Times New Roman"/>
                <w:b w:val="0"/>
                <w:i w:val="0"/>
                <w:sz w:val="14"/>
              </w:rPr>
              <w:t>Postoperative S100B rose less with magnesium. NSE and Barthel index did not differ between arms.</w:t>
            </w:r>
          </w:p>
        </w:tc>
        <w:tc>
          <w:tcPr>
            <w:tcW w:type="dxa" w:w="1322"/>
          </w:tcPr>
          <w:p>
            <w:r>
              <w:rPr>
                <w:rFonts w:ascii="Times New Roman" w:hAnsi="Times New Roman" w:eastAsia="Times New Roman"/>
                <w:b w:val="0"/>
                <w:i w:val="0"/>
                <w:sz w:val="14"/>
              </w:rPr>
              <w:t>Injury biomarker,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Peng, 2016</w:t>
            </w:r>
            <w:r>
              <w:rPr>
                <w:rFonts w:ascii="Times New Roman" w:hAnsi="Times New Roman"/>
                <w:vertAlign w:val="superscript"/>
                <w:sz w:val="14"/>
              </w:rPr>
              <w:t>57</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80</w:t>
            </w:r>
          </w:p>
        </w:tc>
        <w:tc>
          <w:tcPr>
            <w:tcW w:type="dxa" w:w="1653"/>
          </w:tcPr>
          <w:p>
            <w:r>
              <w:rPr>
                <w:rFonts w:ascii="Times New Roman" w:hAnsi="Times New Roman" w:eastAsia="Times New Roman"/>
                <w:b w:val="0"/>
                <w:i w:val="0"/>
                <w:sz w:val="14"/>
              </w:rPr>
              <w:t>Lidocaine versus saline</w:t>
            </w:r>
          </w:p>
        </w:tc>
        <w:tc>
          <w:tcPr>
            <w:tcW w:type="dxa" w:w="4100"/>
          </w:tcPr>
          <w:p>
            <w:r>
              <w:rPr>
                <w:rFonts w:ascii="Times New Roman" w:hAnsi="Times New Roman" w:eastAsia="Times New Roman"/>
                <w:b w:val="0"/>
                <w:i w:val="0"/>
                <w:sz w:val="14"/>
              </w:rPr>
              <w:t>Cognitive decline at 6 months did not differ (about 10% in each arm), although lidocaine lowered cerebral oxygen extraction.</w:t>
            </w:r>
          </w:p>
        </w:tc>
        <w:tc>
          <w:tcPr>
            <w:tcW w:type="dxa" w:w="1322"/>
          </w:tcPr>
          <w:p>
            <w:r>
              <w:rPr>
                <w:rFonts w:ascii="Times New Roman" w:hAnsi="Times New Roman" w:eastAsia="Times New Roman"/>
                <w:b w:val="0"/>
                <w:i w:val="0"/>
                <w:sz w:val="14"/>
              </w:rPr>
              <w:t>Cognition, 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Wu, 2017</w:t>
            </w:r>
            <w:r>
              <w:rPr>
                <w:rFonts w:ascii="Times New Roman" w:hAnsi="Times New Roman"/>
                <w:vertAlign w:val="superscript"/>
                <w:sz w:val="14"/>
              </w:rPr>
              <w:t>58</w:t>
            </w:r>
          </w:p>
        </w:tc>
        <w:tc>
          <w:tcPr>
            <w:tcW w:type="dxa" w:w="926"/>
          </w:tcPr>
          <w:p>
            <w:r>
              <w:rPr>
                <w:rFonts w:ascii="Times New Roman" w:hAnsi="Times New Roman" w:eastAsia="Times New Roman"/>
                <w:b w:val="0"/>
                <w:i w:val="0"/>
                <w:sz w:val="14"/>
              </w:rPr>
              <w:t>Taiwan</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80</w:t>
            </w:r>
          </w:p>
        </w:tc>
        <w:tc>
          <w:tcPr>
            <w:tcW w:type="dxa" w:w="1653"/>
          </w:tcPr>
          <w:p>
            <w:r>
              <w:rPr>
                <w:rFonts w:ascii="Times New Roman" w:hAnsi="Times New Roman" w:eastAsia="Times New Roman"/>
                <w:b w:val="0"/>
                <w:i w:val="0"/>
                <w:sz w:val="14"/>
              </w:rPr>
              <w:t>Goal-directed fluids, SVV threshold 10% versus 18%</w:t>
            </w:r>
          </w:p>
        </w:tc>
        <w:tc>
          <w:tcPr>
            <w:tcW w:type="dxa" w:w="4100"/>
          </w:tcPr>
          <w:p>
            <w:r>
              <w:rPr>
                <w:rFonts w:ascii="Times New Roman" w:hAnsi="Times New Roman" w:eastAsia="Times New Roman"/>
                <w:b w:val="0"/>
                <w:i w:val="0"/>
                <w:sz w:val="14"/>
              </w:rPr>
              <w:t>New neurologic events were fewer with low SVV (17.5% vs 40%), with smaller NSE and GFAP rises. S100B did not differ.</w:t>
            </w:r>
          </w:p>
        </w:tc>
        <w:tc>
          <w:tcPr>
            <w:tcW w:type="dxa" w:w="1322"/>
          </w:tcPr>
          <w:p>
            <w:r>
              <w:rPr>
                <w:rFonts w:ascii="Times New Roman" w:hAnsi="Times New Roman" w:eastAsia="Times New Roman"/>
                <w:b w:val="0"/>
                <w:i w:val="0"/>
                <w:sz w:val="14"/>
              </w:rPr>
              <w:t>Injury biomarker, Hemodynamic,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Hernandez-Palazon, 2018</w:t>
            </w:r>
            <w:r>
              <w:rPr>
                <w:rFonts w:ascii="Times New Roman" w:hAnsi="Times New Roman"/>
                <w:vertAlign w:val="superscript"/>
                <w:sz w:val="14"/>
              </w:rPr>
              <w:t>59</w:t>
            </w:r>
          </w:p>
        </w:tc>
        <w:tc>
          <w:tcPr>
            <w:tcW w:type="dxa" w:w="926"/>
          </w:tcPr>
          <w:p>
            <w:r>
              <w:rPr>
                <w:rFonts w:ascii="Times New Roman" w:hAnsi="Times New Roman" w:eastAsia="Times New Roman"/>
                <w:b w:val="0"/>
                <w:i w:val="0"/>
                <w:sz w:val="14"/>
              </w:rPr>
              <w:t>Spain</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60</w:t>
            </w:r>
          </w:p>
        </w:tc>
        <w:tc>
          <w:tcPr>
            <w:tcW w:type="dxa" w:w="1653"/>
          </w:tcPr>
          <w:p>
            <w:r>
              <w:rPr>
                <w:rFonts w:ascii="Times New Roman" w:hAnsi="Times New Roman" w:eastAsia="Times New Roman"/>
                <w:b w:val="0"/>
                <w:i w:val="0"/>
                <w:sz w:val="14"/>
              </w:rPr>
              <w:t>Hypertonic saline 3 versus 5 mL/kg</w:t>
            </w:r>
          </w:p>
        </w:tc>
        <w:tc>
          <w:tcPr>
            <w:tcW w:type="dxa" w:w="4100"/>
          </w:tcPr>
          <w:p>
            <w:r>
              <w:rPr>
                <w:rFonts w:ascii="Times New Roman" w:hAnsi="Times New Roman" w:eastAsia="Times New Roman"/>
                <w:b w:val="0"/>
                <w:i w:val="0"/>
                <w:sz w:val="14"/>
              </w:rPr>
              <w:t>Brain relaxation score was identical (2.0 vs 2.0, p = .535). Both doses gave equal sustained rises in osmolality, with similar complications.</w:t>
            </w:r>
          </w:p>
        </w:tc>
        <w:tc>
          <w:tcPr>
            <w:tcW w:type="dxa" w:w="1322"/>
          </w:tcPr>
          <w:p>
            <w:r>
              <w:rPr>
                <w:rFonts w:ascii="Times New Roman" w:hAnsi="Times New Roman" w:eastAsia="Times New Roman"/>
                <w:b w:val="0"/>
                <w:i w:val="0"/>
                <w:sz w:val="14"/>
              </w:rPr>
              <w:t>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Mahajan, 2019</w:t>
            </w:r>
            <w:r>
              <w:rPr>
                <w:rFonts w:ascii="Times New Roman" w:hAnsi="Times New Roman"/>
                <w:vertAlign w:val="superscript"/>
                <w:sz w:val="14"/>
              </w:rPr>
              <w:t>60</w:t>
            </w:r>
          </w:p>
        </w:tc>
        <w:tc>
          <w:tcPr>
            <w:tcW w:type="dxa" w:w="926"/>
          </w:tcPr>
          <w:p>
            <w:r>
              <w:rPr>
                <w:rFonts w:ascii="Times New Roman" w:hAnsi="Times New Roman" w:eastAsia="Times New Roman"/>
                <w:b w:val="0"/>
                <w:i w:val="0"/>
                <w:sz w:val="14"/>
              </w:rPr>
              <w:t>India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41</w:t>
            </w:r>
          </w:p>
        </w:tc>
        <w:tc>
          <w:tcPr>
            <w:tcW w:type="dxa" w:w="1653"/>
          </w:tcPr>
          <w:p>
            <w:r>
              <w:rPr>
                <w:rFonts w:ascii="Times New Roman" w:hAnsi="Times New Roman" w:eastAsia="Times New Roman"/>
                <w:b w:val="0"/>
                <w:i w:val="0"/>
                <w:sz w:val="14"/>
              </w:rPr>
              <w:t>Magnesium, lignocaine, or saline</w:t>
            </w:r>
          </w:p>
        </w:tc>
        <w:tc>
          <w:tcPr>
            <w:tcW w:type="dxa" w:w="4100"/>
          </w:tcPr>
          <w:p>
            <w:r>
              <w:rPr>
                <w:rFonts w:ascii="Times New Roman" w:hAnsi="Times New Roman" w:eastAsia="Times New Roman"/>
                <w:b w:val="0"/>
                <w:i w:val="0"/>
                <w:sz w:val="14"/>
              </w:rPr>
              <w:t>S100B was lower at 24 h with magnesium than with either other arm. Pain and fentanyl use were lower with magnesium and lignocaine.</w:t>
            </w:r>
          </w:p>
        </w:tc>
        <w:tc>
          <w:tcPr>
            <w:tcW w:type="dxa" w:w="1322"/>
          </w:tcPr>
          <w:p>
            <w:r>
              <w:rPr>
                <w:rFonts w:ascii="Times New Roman" w:hAnsi="Times New Roman" w:eastAsia="Times New Roman"/>
                <w:b w:val="0"/>
                <w:i w:val="0"/>
                <w:sz w:val="14"/>
              </w:rPr>
              <w:t>Injury biomarker</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Jitsinthunun, 2022</w:t>
            </w:r>
            <w:r>
              <w:rPr>
                <w:rFonts w:ascii="Times New Roman" w:hAnsi="Times New Roman"/>
                <w:vertAlign w:val="superscript"/>
                <w:sz w:val="14"/>
              </w:rPr>
              <w:t>61</w:t>
            </w:r>
          </w:p>
        </w:tc>
        <w:tc>
          <w:tcPr>
            <w:tcW w:type="dxa" w:w="926"/>
          </w:tcPr>
          <w:p>
            <w:r>
              <w:rPr>
                <w:rFonts w:ascii="Times New Roman" w:hAnsi="Times New Roman" w:eastAsia="Times New Roman"/>
                <w:b w:val="0"/>
                <w:i w:val="0"/>
                <w:sz w:val="14"/>
              </w:rPr>
              <w:t>Thailand</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meningioma, n = 76</w:t>
            </w:r>
          </w:p>
        </w:tc>
        <w:tc>
          <w:tcPr>
            <w:tcW w:type="dxa" w:w="1653"/>
          </w:tcPr>
          <w:p>
            <w:r>
              <w:rPr>
                <w:rFonts w:ascii="Times New Roman" w:hAnsi="Times New Roman" w:eastAsia="Times New Roman"/>
                <w:b w:val="0"/>
                <w:i w:val="0"/>
                <w:sz w:val="14"/>
              </w:rPr>
              <w:t>Magnesium sulfate versus saline</w:t>
            </w:r>
          </w:p>
        </w:tc>
        <w:tc>
          <w:tcPr>
            <w:tcW w:type="dxa" w:w="4100"/>
          </w:tcPr>
          <w:p>
            <w:r>
              <w:rPr>
                <w:rFonts w:ascii="Times New Roman" w:hAnsi="Times New Roman" w:eastAsia="Times New Roman"/>
                <w:b w:val="0"/>
                <w:i w:val="0"/>
                <w:sz w:val="14"/>
              </w:rPr>
              <w:t>Blood loss 500 vs 510 mL. Postoperative MoCA did not differ (underpowered). No magnesium toxicity.</w:t>
            </w:r>
          </w:p>
        </w:tc>
        <w:tc>
          <w:tcPr>
            <w:tcW w:type="dxa" w:w="1322"/>
          </w:tcPr>
          <w:p>
            <w:r>
              <w:rPr>
                <w:rFonts w:ascii="Times New Roman" w:hAnsi="Times New Roman" w:eastAsia="Times New Roman"/>
                <w:b w:val="0"/>
                <w:i w:val="0"/>
                <w:sz w:val="14"/>
              </w:rPr>
              <w:t>Cognition</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Wu, 2022</w:t>
            </w:r>
            <w:r>
              <w:rPr>
                <w:rFonts w:ascii="Times New Roman" w:hAnsi="Times New Roman"/>
                <w:vertAlign w:val="superscript"/>
                <w:sz w:val="14"/>
              </w:rPr>
              <w:t>62</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Intracerebral tumors, n = 80</w:t>
            </w:r>
          </w:p>
        </w:tc>
        <w:tc>
          <w:tcPr>
            <w:tcW w:type="dxa" w:w="1653"/>
          </w:tcPr>
          <w:p>
            <w:r>
              <w:rPr>
                <w:rFonts w:ascii="Times New Roman" w:hAnsi="Times New Roman" w:eastAsia="Times New Roman"/>
                <w:b w:val="0"/>
                <w:i w:val="0"/>
                <w:sz w:val="14"/>
              </w:rPr>
              <w:t>Dexmedetomidine versus saline</w:t>
            </w:r>
          </w:p>
        </w:tc>
        <w:tc>
          <w:tcPr>
            <w:tcW w:type="dxa" w:w="4100"/>
          </w:tcPr>
          <w:p>
            <w:r>
              <w:rPr>
                <w:rFonts w:ascii="Times New Roman" w:hAnsi="Times New Roman" w:eastAsia="Times New Roman"/>
                <w:b w:val="0"/>
                <w:i w:val="0"/>
                <w:sz w:val="14"/>
              </w:rPr>
              <w:t>S100B, NSE, GFAP, IL-6, and TNF-alpha were lower and CCSE and MoCA higher at day 1. Differences converged by day 3.</w:t>
            </w:r>
          </w:p>
        </w:tc>
        <w:tc>
          <w:tcPr>
            <w:tcW w:type="dxa" w:w="1322"/>
          </w:tcPr>
          <w:p>
            <w:r>
              <w:rPr>
                <w:rFonts w:ascii="Times New Roman" w:hAnsi="Times New Roman" w:eastAsia="Times New Roman"/>
                <w:b w:val="0"/>
                <w:i w:val="0"/>
                <w:sz w:val="14"/>
              </w:rPr>
              <w:t>Injury biomarker, Inflammatory marker, Cognition, Imaging</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Zhao, 2022</w:t>
            </w:r>
            <w:r>
              <w:rPr>
                <w:rFonts w:ascii="Times New Roman" w:hAnsi="Times New Roman"/>
                <w:vertAlign w:val="superscript"/>
                <w:sz w:val="14"/>
              </w:rPr>
              <w:t>63</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60</w:t>
            </w:r>
          </w:p>
        </w:tc>
        <w:tc>
          <w:tcPr>
            <w:tcW w:type="dxa" w:w="1653"/>
          </w:tcPr>
          <w:p>
            <w:r>
              <w:rPr>
                <w:rFonts w:ascii="Times New Roman" w:hAnsi="Times New Roman" w:eastAsia="Times New Roman"/>
                <w:b w:val="0"/>
                <w:i w:val="0"/>
                <w:sz w:val="14"/>
              </w:rPr>
              <w:t>Lidocaine versus saline</w:t>
            </w:r>
          </w:p>
        </w:tc>
        <w:tc>
          <w:tcPr>
            <w:tcW w:type="dxa" w:w="4100"/>
          </w:tcPr>
          <w:p>
            <w:r>
              <w:rPr>
                <w:rFonts w:ascii="Times New Roman" w:hAnsi="Times New Roman" w:eastAsia="Times New Roman"/>
                <w:b w:val="0"/>
                <w:i w:val="0"/>
                <w:sz w:val="14"/>
              </w:rPr>
              <w:t>QoR-40 was higher on days 1 and 2. S100B, NSE, IL-6, and TNF-alpha were lower at end of surgery.</w:t>
            </w:r>
          </w:p>
        </w:tc>
        <w:tc>
          <w:tcPr>
            <w:tcW w:type="dxa" w:w="1322"/>
          </w:tcPr>
          <w:p>
            <w:r>
              <w:rPr>
                <w:rFonts w:ascii="Times New Roman" w:hAnsi="Times New Roman" w:eastAsia="Times New Roman"/>
                <w:b w:val="0"/>
                <w:i w:val="0"/>
                <w:sz w:val="14"/>
              </w:rPr>
              <w:t>Injury biomarker, Inflammatory marker</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Jiang, 2023</w:t>
            </w:r>
            <w:r>
              <w:rPr>
                <w:rFonts w:ascii="Times New Roman" w:hAnsi="Times New Roman"/>
                <w:vertAlign w:val="superscript"/>
                <w:sz w:val="14"/>
              </w:rPr>
              <w:t>64</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Supratentorial tumors, n = 110</w:t>
            </w:r>
          </w:p>
        </w:tc>
        <w:tc>
          <w:tcPr>
            <w:tcW w:type="dxa" w:w="1653"/>
          </w:tcPr>
          <w:p>
            <w:r>
              <w:rPr>
                <w:rFonts w:ascii="Times New Roman" w:hAnsi="Times New Roman" w:eastAsia="Times New Roman"/>
                <w:b w:val="0"/>
                <w:i w:val="0"/>
                <w:sz w:val="14"/>
              </w:rPr>
              <w:t>Desflurane versus propofol TIVA</w:t>
            </w:r>
          </w:p>
        </w:tc>
        <w:tc>
          <w:tcPr>
            <w:tcW w:type="dxa" w:w="4100"/>
          </w:tcPr>
          <w:p>
            <w:r>
              <w:rPr>
                <w:rFonts w:ascii="Times New Roman" w:hAnsi="Times New Roman" w:eastAsia="Times New Roman"/>
                <w:b w:val="0"/>
                <w:i w:val="0"/>
                <w:sz w:val="14"/>
              </w:rPr>
              <w:t>Satisfactory brain relaxation was similar (69% vs 73%). Desflurane gave better cognitive recovery at 15 min (16 vs 0, p = .003) but more nausea and tachycardia.</w:t>
            </w:r>
          </w:p>
        </w:tc>
        <w:tc>
          <w:tcPr>
            <w:tcW w:type="dxa" w:w="1322"/>
          </w:tcPr>
          <w:p>
            <w:r>
              <w:rPr>
                <w:rFonts w:ascii="Times New Roman" w:hAnsi="Times New Roman" w:eastAsia="Times New Roman"/>
                <w:b w:val="0"/>
                <w:i w:val="0"/>
                <w:sz w:val="14"/>
              </w:rPr>
              <w:t>Cognition, Hemodynamic</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Sriganesh, 2023</w:t>
            </w:r>
            <w:r>
              <w:rPr>
                <w:rFonts w:ascii="Times New Roman" w:hAnsi="Times New Roman"/>
                <w:vertAlign w:val="superscript"/>
                <w:sz w:val="14"/>
              </w:rPr>
              <w:t>65</w:t>
            </w:r>
          </w:p>
        </w:tc>
        <w:tc>
          <w:tcPr>
            <w:tcW w:type="dxa" w:w="926"/>
          </w:tcPr>
          <w:p>
            <w:r>
              <w:rPr>
                <w:rFonts w:ascii="Times New Roman" w:hAnsi="Times New Roman" w:eastAsia="Times New Roman"/>
                <w:b w:val="0"/>
                <w:i w:val="0"/>
                <w:sz w:val="14"/>
              </w:rPr>
              <w:t>India</w:t>
            </w:r>
          </w:p>
        </w:tc>
        <w:tc>
          <w:tcPr>
            <w:tcW w:type="dxa" w:w="1190"/>
          </w:tcPr>
          <w:p>
            <w:r>
              <w:rPr>
                <w:rFonts w:ascii="Times New Roman" w:hAnsi="Times New Roman" w:eastAsia="Times New Roman"/>
                <w:b w:val="0"/>
                <w:i w:val="0"/>
                <w:sz w:val="14"/>
              </w:rPr>
              <w:t>Trial protocol</w:t>
            </w:r>
          </w:p>
        </w:tc>
        <w:tc>
          <w:tcPr>
            <w:tcW w:type="dxa" w:w="1653"/>
          </w:tcPr>
          <w:p>
            <w:r>
              <w:rPr>
                <w:rFonts w:ascii="Times New Roman" w:hAnsi="Times New Roman" w:eastAsia="Times New Roman"/>
                <w:b w:val="0"/>
                <w:i w:val="0"/>
                <w:sz w:val="14"/>
              </w:rPr>
              <w:t>Supratentorial tumors, planned n = 500</w:t>
            </w:r>
          </w:p>
        </w:tc>
        <w:tc>
          <w:tcPr>
            <w:tcW w:type="dxa" w:w="1653"/>
          </w:tcPr>
          <w:p>
            <w:r>
              <w:rPr>
                <w:rFonts w:ascii="Times New Roman" w:hAnsi="Times New Roman" w:eastAsia="Times New Roman"/>
                <w:b w:val="0"/>
                <w:i w:val="0"/>
                <w:sz w:val="14"/>
              </w:rPr>
              <w:t>Fentanyl versus dexmedetomidine</w:t>
            </w:r>
          </w:p>
        </w:tc>
        <w:tc>
          <w:tcPr>
            <w:tcW w:type="dxa" w:w="4100"/>
          </w:tcPr>
          <w:p>
            <w:r>
              <w:rPr>
                <w:rFonts w:ascii="Times New Roman" w:hAnsi="Times New Roman" w:eastAsia="Times New Roman"/>
                <w:b w:val="0"/>
                <w:i w:val="0"/>
                <w:sz w:val="14"/>
              </w:rPr>
              <w:t>No outcome data. Emergence delirium and quality of recovery are secondary outcomes.</w:t>
            </w:r>
          </w:p>
        </w:tc>
        <w:tc>
          <w:tcPr>
            <w:tcW w:type="dxa" w:w="1322"/>
          </w:tcPr>
          <w:p>
            <w:r>
              <w:rPr>
                <w:rFonts w:ascii="Times New Roman" w:hAnsi="Times New Roman" w:eastAsia="Times New Roman"/>
                <w:b w:val="0"/>
                <w:i w:val="0"/>
                <w:sz w:val="14"/>
              </w:rPr>
              <w:t>Delirium</w:t>
            </w:r>
          </w:p>
        </w:tc>
        <w:tc>
          <w:tcPr>
            <w:tcW w:type="dxa" w:w="595"/>
          </w:tcPr>
          <w:p>
            <w:r>
              <w:rPr>
                <w:rFonts w:ascii="Times New Roman" w:hAnsi="Times New Roman" w:eastAsia="Times New Roman"/>
                <w:b w:val="0"/>
                <w:i w:val="0"/>
                <w:sz w:val="14"/>
              </w:rPr>
              <w:t>Not graded</w:t>
            </w:r>
          </w:p>
        </w:tc>
      </w:tr>
      <w:tr>
        <w:trPr>
          <w:cantSplit w:val="true"/>
        </w:trPr>
        <w:tc>
          <w:tcPr>
            <w:tcW w:type="dxa" w:w="1521"/>
          </w:tcPr>
          <w:p>
            <w:r>
              <w:rPr>
                <w:rFonts w:ascii="Times New Roman" w:hAnsi="Times New Roman" w:eastAsia="Times New Roman"/>
                <w:b w:val="0"/>
                <w:i w:val="0"/>
                <w:sz w:val="14"/>
              </w:rPr>
              <w:t>Li, 2023</w:t>
            </w:r>
            <w:r>
              <w:rPr>
                <w:rFonts w:ascii="Times New Roman" w:hAnsi="Times New Roman"/>
                <w:vertAlign w:val="superscript"/>
                <w:sz w:val="14"/>
              </w:rPr>
              <w:t>66</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Frontotemporal tumors, n = 260</w:t>
            </w:r>
          </w:p>
        </w:tc>
        <w:tc>
          <w:tcPr>
            <w:tcW w:type="dxa" w:w="1653"/>
          </w:tcPr>
          <w:p>
            <w:r>
              <w:rPr>
                <w:rFonts w:ascii="Times New Roman" w:hAnsi="Times New Roman" w:eastAsia="Times New Roman"/>
                <w:b w:val="0"/>
                <w:i w:val="0"/>
                <w:sz w:val="14"/>
              </w:rPr>
              <w:t>Dexmedetomidine versus placebo</w:t>
            </w:r>
          </w:p>
        </w:tc>
        <w:tc>
          <w:tcPr>
            <w:tcW w:type="dxa" w:w="4100"/>
          </w:tcPr>
          <w:p>
            <w:r>
              <w:rPr>
                <w:rFonts w:ascii="Times New Roman" w:hAnsi="Times New Roman" w:eastAsia="Times New Roman"/>
                <w:b w:val="0"/>
                <w:i w:val="0"/>
                <w:sz w:val="14"/>
              </w:rPr>
              <w:t>Delirium 22% versus 46% (RR 0.51, p &lt; .001) with higher day 5 MMSE. Gliomas were about twice as likely to develop delirium.</w:t>
            </w:r>
          </w:p>
        </w:tc>
        <w:tc>
          <w:tcPr>
            <w:tcW w:type="dxa" w:w="1322"/>
          </w:tcPr>
          <w:p>
            <w:r>
              <w:rPr>
                <w:rFonts w:ascii="Times New Roman" w:hAnsi="Times New Roman" w:eastAsia="Times New Roman"/>
                <w:b w:val="0"/>
                <w:i w:val="0"/>
                <w:sz w:val="14"/>
              </w:rPr>
              <w:t>Delirium, Cognition</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Yuan, 2023</w:t>
            </w:r>
            <w:r>
              <w:rPr>
                <w:rFonts w:ascii="Times New Roman" w:hAnsi="Times New Roman"/>
                <w:vertAlign w:val="superscript"/>
                <w:sz w:val="14"/>
              </w:rPr>
              <w:t>67</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Mixed brain tumors, n = 291</w:t>
            </w:r>
          </w:p>
        </w:tc>
        <w:tc>
          <w:tcPr>
            <w:tcW w:type="dxa" w:w="1653"/>
          </w:tcPr>
          <w:p>
            <w:r>
              <w:rPr>
                <w:rFonts w:ascii="Times New Roman" w:hAnsi="Times New Roman" w:eastAsia="Times New Roman"/>
                <w:b w:val="0"/>
                <w:i w:val="0"/>
                <w:sz w:val="14"/>
              </w:rPr>
              <w:t>Frailty-originated early rehabilitation versus usual care</w:t>
            </w:r>
          </w:p>
        </w:tc>
        <w:tc>
          <w:tcPr>
            <w:tcW w:type="dxa" w:w="4100"/>
          </w:tcPr>
          <w:p>
            <w:r>
              <w:rPr>
                <w:rFonts w:ascii="Times New Roman" w:hAnsi="Times New Roman" w:eastAsia="Times New Roman"/>
                <w:b w:val="0"/>
                <w:i w:val="0"/>
                <w:sz w:val="14"/>
              </w:rPr>
              <w:t>Delirium 15.6% versus 28.7%. Frailty at discharge 19.9% versus 30.7%.</w:t>
            </w:r>
          </w:p>
        </w:tc>
        <w:tc>
          <w:tcPr>
            <w:tcW w:type="dxa" w:w="1322"/>
          </w:tcPr>
          <w:p>
            <w:r>
              <w:rPr>
                <w:rFonts w:ascii="Times New Roman" w:hAnsi="Times New Roman" w:eastAsia="Times New Roman"/>
                <w:b w:val="0"/>
                <w:i w:val="0"/>
                <w:sz w:val="14"/>
              </w:rPr>
              <w:t>Frailty index, Delirium,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Gracia, 2025</w:t>
            </w:r>
            <w:r>
              <w:rPr>
                <w:rFonts w:ascii="Times New Roman" w:hAnsi="Times New Roman"/>
                <w:vertAlign w:val="superscript"/>
                <w:sz w:val="14"/>
              </w:rPr>
              <w:t>68</w:t>
            </w:r>
          </w:p>
        </w:tc>
        <w:tc>
          <w:tcPr>
            <w:tcW w:type="dxa" w:w="926"/>
          </w:tcPr>
          <w:p>
            <w:r>
              <w:rPr>
                <w:rFonts w:ascii="Times New Roman" w:hAnsi="Times New Roman" w:eastAsia="Times New Roman"/>
                <w:b w:val="0"/>
                <w:i w:val="0"/>
                <w:sz w:val="14"/>
              </w:rPr>
              <w:t>Spain</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Resective neurosurgery n = 51, tumor subgroup n = 35</w:t>
            </w:r>
          </w:p>
        </w:tc>
        <w:tc>
          <w:tcPr>
            <w:tcW w:type="dxa" w:w="1653"/>
          </w:tcPr>
          <w:p>
            <w:r>
              <w:rPr>
                <w:rFonts w:ascii="Times New Roman" w:hAnsi="Times New Roman" w:eastAsia="Times New Roman"/>
                <w:b w:val="0"/>
                <w:i w:val="0"/>
                <w:sz w:val="14"/>
              </w:rPr>
              <w:t>Magnesium sulfate versus saline</w:t>
            </w:r>
          </w:p>
        </w:tc>
        <w:tc>
          <w:tcPr>
            <w:tcW w:type="dxa" w:w="4100"/>
          </w:tcPr>
          <w:p>
            <w:r>
              <w:rPr>
                <w:rFonts w:ascii="Times New Roman" w:hAnsi="Times New Roman" w:eastAsia="Times New Roman"/>
                <w:b w:val="0"/>
                <w:i w:val="0"/>
                <w:sz w:val="14"/>
              </w:rPr>
              <w:t>Primary S100B at 2 h did not differ. At 6 months the cavity was smaller (10.0 vs 26.9 cm3, p = .02) and gliosis less frequent in the tumor subgroup (43.8% vs 85.7%, p = .02).</w:t>
            </w:r>
          </w:p>
        </w:tc>
        <w:tc>
          <w:tcPr>
            <w:tcW w:type="dxa" w:w="1322"/>
          </w:tcPr>
          <w:p>
            <w:r>
              <w:rPr>
                <w:rFonts w:ascii="Times New Roman" w:hAnsi="Times New Roman" w:eastAsia="Times New Roman"/>
                <w:b w:val="0"/>
                <w:i w:val="0"/>
                <w:sz w:val="14"/>
              </w:rPr>
              <w:t>Injury biomarker, Cognition, Imaging, Neurological or functional</w:t>
            </w:r>
          </w:p>
        </w:tc>
        <w:tc>
          <w:tcPr>
            <w:tcW w:type="dxa" w:w="595"/>
          </w:tcPr>
          <w:p>
            <w:r>
              <w:rPr>
                <w:rFonts w:ascii="Times New Roman" w:hAnsi="Times New Roman" w:eastAsia="Times New Roman"/>
                <w:b w:val="0"/>
                <w:i w:val="0"/>
                <w:sz w:val="14"/>
              </w:rPr>
              <w:t>2</w:t>
            </w:r>
          </w:p>
        </w:tc>
      </w:tr>
      <w:tr>
        <w:trPr>
          <w:cantSplit w:val="true"/>
        </w:trPr>
        <w:tc>
          <w:tcPr>
            <w:tcW w:type="dxa" w:w="1521"/>
          </w:tcPr>
          <w:p>
            <w:r>
              <w:rPr>
                <w:rFonts w:ascii="Times New Roman" w:hAnsi="Times New Roman" w:eastAsia="Times New Roman"/>
                <w:b w:val="0"/>
                <w:i w:val="0"/>
                <w:sz w:val="14"/>
              </w:rPr>
              <w:t>Ravindranath, 2025</w:t>
            </w:r>
            <w:r>
              <w:rPr>
                <w:rFonts w:ascii="Times New Roman" w:hAnsi="Times New Roman"/>
                <w:vertAlign w:val="superscript"/>
                <w:sz w:val="14"/>
              </w:rPr>
              <w:t>69</w:t>
            </w:r>
          </w:p>
        </w:tc>
        <w:tc>
          <w:tcPr>
            <w:tcW w:type="dxa" w:w="926"/>
          </w:tcPr>
          <w:p>
            <w:r>
              <w:rPr>
                <w:rFonts w:ascii="Times New Roman" w:hAnsi="Times New Roman" w:eastAsia="Times New Roman"/>
                <w:b w:val="0"/>
                <w:i w:val="0"/>
                <w:sz w:val="14"/>
              </w:rPr>
              <w:t>India</w:t>
            </w:r>
          </w:p>
        </w:tc>
        <w:tc>
          <w:tcPr>
            <w:tcW w:type="dxa" w:w="1190"/>
          </w:tcPr>
          <w:p>
            <w:r>
              <w:rPr>
                <w:rFonts w:ascii="Times New Roman" w:hAnsi="Times New Roman" w:eastAsia="Times New Roman"/>
                <w:b w:val="0"/>
                <w:i w:val="0"/>
                <w:sz w:val="14"/>
              </w:rPr>
              <w:t>Trial protocol</w:t>
            </w:r>
          </w:p>
        </w:tc>
        <w:tc>
          <w:tcPr>
            <w:tcW w:type="dxa" w:w="1653"/>
          </w:tcPr>
          <w:p>
            <w:r>
              <w:rPr>
                <w:rFonts w:ascii="Times New Roman" w:hAnsi="Times New Roman" w:eastAsia="Times New Roman"/>
                <w:b w:val="0"/>
                <w:i w:val="0"/>
                <w:sz w:val="14"/>
              </w:rPr>
              <w:t>Supratentorial glioma, planned n = 90</w:t>
            </w:r>
          </w:p>
        </w:tc>
        <w:tc>
          <w:tcPr>
            <w:tcW w:type="dxa" w:w="1653"/>
          </w:tcPr>
          <w:p>
            <w:r>
              <w:rPr>
                <w:rFonts w:ascii="Times New Roman" w:hAnsi="Times New Roman" w:eastAsia="Times New Roman"/>
                <w:b w:val="0"/>
                <w:i w:val="0"/>
                <w:sz w:val="14"/>
              </w:rPr>
              <w:t>Propofol TIVA versus sevoflurane</w:t>
            </w:r>
          </w:p>
        </w:tc>
        <w:tc>
          <w:tcPr>
            <w:tcW w:type="dxa" w:w="4100"/>
          </w:tcPr>
          <w:p>
            <w:r>
              <w:rPr>
                <w:rFonts w:ascii="Times New Roman" w:hAnsi="Times New Roman" w:eastAsia="Times New Roman"/>
                <w:b w:val="0"/>
                <w:i w:val="0"/>
                <w:sz w:val="14"/>
              </w:rPr>
              <w:t>No outcome data. Plans NSE, IL-6, CAM-ICU, MoCA, and Glasgow Outcome Scale.</w:t>
            </w:r>
          </w:p>
        </w:tc>
        <w:tc>
          <w:tcPr>
            <w:tcW w:type="dxa" w:w="1322"/>
          </w:tcPr>
          <w:p>
            <w:r>
              <w:rPr>
                <w:rFonts w:ascii="Times New Roman" w:hAnsi="Times New Roman" w:eastAsia="Times New Roman"/>
                <w:b w:val="0"/>
                <w:i w:val="0"/>
                <w:sz w:val="14"/>
              </w:rPr>
              <w:t>Injury biomarker, Inflammatory marker, Cognition, Delirium</w:t>
            </w:r>
          </w:p>
        </w:tc>
        <w:tc>
          <w:tcPr>
            <w:tcW w:type="dxa" w:w="595"/>
          </w:tcPr>
          <w:p>
            <w:r>
              <w:rPr>
                <w:rFonts w:ascii="Times New Roman" w:hAnsi="Times New Roman" w:eastAsia="Times New Roman"/>
                <w:b w:val="0"/>
                <w:i w:val="0"/>
                <w:sz w:val="14"/>
              </w:rPr>
              <w:t>Not graded</w:t>
            </w:r>
          </w:p>
        </w:tc>
      </w:tr>
      <w:tr>
        <w:trPr>
          <w:cantSplit w:val="true"/>
        </w:trPr>
        <w:tc>
          <w:tcPr>
            <w:tcW w:type="dxa" w:w="1521"/>
          </w:tcPr>
          <w:p>
            <w:r>
              <w:rPr>
                <w:rFonts w:ascii="Times New Roman" w:hAnsi="Times New Roman" w:eastAsia="Times New Roman"/>
                <w:b w:val="0"/>
                <w:i w:val="0"/>
                <w:sz w:val="14"/>
              </w:rPr>
              <w:t>Tan, 2025</w:t>
            </w:r>
            <w:r>
              <w:rPr>
                <w:rFonts w:ascii="Times New Roman" w:hAnsi="Times New Roman"/>
                <w:vertAlign w:val="superscript"/>
                <w:sz w:val="14"/>
              </w:rPr>
              <w:t>70</w:t>
            </w:r>
          </w:p>
        </w:tc>
        <w:tc>
          <w:tcPr>
            <w:tcW w:type="dxa" w:w="926"/>
          </w:tcPr>
          <w:p>
            <w:r>
              <w:rPr>
                <w:rFonts w:ascii="Times New Roman" w:hAnsi="Times New Roman" w:eastAsia="Times New Roman"/>
                <w:b w:val="0"/>
                <w:i w:val="0"/>
                <w:sz w:val="14"/>
              </w:rPr>
              <w:t>China</w:t>
            </w:r>
          </w:p>
        </w:tc>
        <w:tc>
          <w:tcPr>
            <w:tcW w:type="dxa" w:w="1190"/>
          </w:tcPr>
          <w:p>
            <w:r>
              <w:rPr>
                <w:rFonts w:ascii="Times New Roman" w:hAnsi="Times New Roman" w:eastAsia="Times New Roman"/>
                <w:b w:val="0"/>
                <w:i w:val="0"/>
                <w:sz w:val="14"/>
              </w:rPr>
              <w:t>RCT</w:t>
            </w:r>
          </w:p>
        </w:tc>
        <w:tc>
          <w:tcPr>
            <w:tcW w:type="dxa" w:w="1653"/>
          </w:tcPr>
          <w:p>
            <w:r>
              <w:rPr>
                <w:rFonts w:ascii="Times New Roman" w:hAnsi="Times New Roman" w:eastAsia="Times New Roman"/>
                <w:b w:val="0"/>
                <w:i w:val="0"/>
                <w:sz w:val="14"/>
              </w:rPr>
              <w:t>Meningioma, n = 78</w:t>
            </w:r>
          </w:p>
        </w:tc>
        <w:tc>
          <w:tcPr>
            <w:tcW w:type="dxa" w:w="1653"/>
          </w:tcPr>
          <w:p>
            <w:r>
              <w:rPr>
                <w:rFonts w:ascii="Times New Roman" w:hAnsi="Times New Roman" w:eastAsia="Times New Roman"/>
                <w:b w:val="0"/>
                <w:i w:val="0"/>
                <w:sz w:val="14"/>
              </w:rPr>
              <w:t>Ciprofol versus propofol</w:t>
            </w:r>
          </w:p>
        </w:tc>
        <w:tc>
          <w:tcPr>
            <w:tcW w:type="dxa" w:w="4100"/>
          </w:tcPr>
          <w:p>
            <w:r>
              <w:rPr>
                <w:rFonts w:ascii="Times New Roman" w:hAnsi="Times New Roman" w:eastAsia="Times New Roman"/>
                <w:b w:val="0"/>
                <w:i w:val="0"/>
                <w:sz w:val="14"/>
              </w:rPr>
              <w:t>S100B and NSE at 24 h were higher with ciprofol. Induction hypotension was less frequent with ciprofol (59% vs 95%).</w:t>
            </w:r>
          </w:p>
        </w:tc>
        <w:tc>
          <w:tcPr>
            <w:tcW w:type="dxa" w:w="1322"/>
          </w:tcPr>
          <w:p>
            <w:r>
              <w:rPr>
                <w:rFonts w:ascii="Times New Roman" w:hAnsi="Times New Roman" w:eastAsia="Times New Roman"/>
                <w:b w:val="0"/>
                <w:i w:val="0"/>
                <w:sz w:val="14"/>
              </w:rPr>
              <w:t>Injury biomarker, Hemodynamic</w:t>
            </w:r>
          </w:p>
        </w:tc>
        <w:tc>
          <w:tcPr>
            <w:tcW w:type="dxa" w:w="595"/>
          </w:tcPr>
          <w:p>
            <w:r>
              <w:rPr>
                <w:rFonts w:ascii="Times New Roman" w:hAnsi="Times New Roman" w:eastAsia="Times New Roman"/>
                <w:b w:val="0"/>
                <w:i w:val="0"/>
                <w:sz w:val="14"/>
              </w:rPr>
              <w:t>2</w:t>
            </w:r>
          </w:p>
        </w:tc>
      </w:tr>
    </w:tbl>
    <w:p>
      <w:pPr>
        <w:spacing w:before="120"/>
      </w:pPr>
      <w:r>
        <w:rPr>
          <w:rFonts w:ascii="Times New Roman" w:hAnsi="Times New Roman" w:eastAsia="Times New Roman"/>
          <w:b w:val="0"/>
          <w:i w:val="0"/>
          <w:sz w:val="14"/>
        </w:rPr>
        <w:t>Level is the OCEBM 2011 level assigned from design alone and does not judge quality. Domains are the review team coding for each study. CSF, cerebrospinal fluid. DWI, diffusion-weighted imaging. GFAP, glial fibrillary acidic protein. MEP, motor evoked potential. mFI, modified frailty index. MoCA, Montreal Cognitive Assessment. NfL, neurofilament light chain. NSE, neuron-specific enolase. TIVA, total intravenous anesthesia.</w:t>
      </w:r>
    </w:p>
    <w:p>
      <w:pPr>
        <w:keepNext/>
        <w:spacing w:before="240"/>
        <w:jc w:val="center"/>
      </w:pPr>
      <w:r>
        <w:drawing>
          <wp:inline xmlns:a="http://schemas.openxmlformats.org/drawingml/2006/main" xmlns:pic="http://schemas.openxmlformats.org/drawingml/2006/picture">
            <wp:extent cx="5669280" cy="4749937"/>
            <wp:docPr id="1" name="Picture 1"/>
            <wp:cNvGraphicFramePr>
              <a:graphicFrameLocks noChangeAspect="1"/>
            </wp:cNvGraphicFramePr>
            <a:graphic>
              <a:graphicData uri="http://schemas.openxmlformats.org/drawingml/2006/picture">
                <pic:pic>
                  <pic:nvPicPr>
                    <pic:cNvPr id="0" name="fig2_characteristics.png"/>
                    <pic:cNvPicPr/>
                  </pic:nvPicPr>
                  <pic:blipFill>
                    <a:blip r:embed="rId10"/>
                    <a:stretch>
                      <a:fillRect/>
                    </a:stretch>
                  </pic:blipFill>
                  <pic:spPr>
                    <a:xfrm>
                      <a:off x="0" y="0"/>
                      <a:ext cx="5669280" cy="4749937"/>
                    </a:xfrm>
                    <a:prstGeom prst="rect"/>
                  </pic:spPr>
                </pic:pic>
              </a:graphicData>
            </a:graphic>
          </wp:inline>
        </w:drawing>
      </w:r>
    </w:p>
    <w:p>
      <w:pPr>
        <w:spacing w:before="80"/>
      </w:pPr>
      <w:r>
        <w:rPr>
          <w:rFonts w:ascii="Times New Roman" w:hAnsi="Times New Roman" w:eastAsia="Times New Roman"/>
          <w:b/>
          <w:i w:val="0"/>
          <w:sz w:val="22"/>
        </w:rPr>
        <w:t xml:space="preserve">Figure. </w:t>
      </w:r>
      <w:r>
        <w:rPr>
          <w:rFonts w:ascii="Times New Roman" w:hAnsi="Times New Roman" w:eastAsia="Times New Roman"/>
          <w:b w:val="0"/>
          <w:i w:val="0"/>
          <w:sz w:val="22"/>
        </w:rPr>
        <w:t>Characteristics of the 70 core studies. (A) Publication period. (B) Study design. (C) Tumor category of the study sample. (D) Evidence stream.</w:t>
      </w:r>
    </w:p>
    <w:p>
      <w:pPr>
        <w:keepNext/>
        <w:spacing w:before="280"/>
      </w:pPr>
      <w:r>
        <w:rPr>
          <w:rFonts w:ascii="Times New Roman" w:hAnsi="Times New Roman" w:eastAsia="Times New Roman"/>
          <w:b/>
          <w:i w:val="0"/>
          <w:sz w:val="22"/>
        </w:rPr>
        <w:t>References</w:t>
      </w:r>
    </w:p>
    <w:p>
      <w:pPr>
        <w:spacing w:after="40"/>
        <w:ind w:left="576" w:hanging="576"/>
      </w:pPr>
      <w:r>
        <w:rPr>
          <w:rFonts w:ascii="Times New Roman" w:hAnsi="Times New Roman" w:eastAsia="Times New Roman"/>
          <w:b w:val="0"/>
          <w:i w:val="0"/>
          <w:sz w:val="18"/>
        </w:rPr>
        <w:t>1.</w:t>
        <w:tab/>
        <w:t>Stewart PA, Hayakawa K, Farrell CL, et al. Quantitative study of microvessel ultrastructure in human peritumoral brain tissue. J Neurosurg. 1987;67:697-705. DOI: 10.3171/jns.1987.67.5.0697</w:t>
      </w:r>
    </w:p>
    <w:p>
      <w:pPr>
        <w:spacing w:after="40"/>
        <w:ind w:left="576" w:hanging="576"/>
      </w:pPr>
      <w:r>
        <w:rPr>
          <w:rFonts w:ascii="Times New Roman" w:hAnsi="Times New Roman" w:eastAsia="Times New Roman"/>
          <w:b w:val="0"/>
          <w:i w:val="0"/>
          <w:sz w:val="18"/>
        </w:rPr>
        <w:t>2.</w:t>
        <w:tab/>
        <w:t>Machein MR, Kullmer J, Fiebich BL, et al. Vascular endothelial growth factor expression, vascular volume, and capillary permeability in human brain tumors. Neurosurgery. 1999;44:732-740. DOI: 10.1097/00006123-199904000-00022</w:t>
      </w:r>
    </w:p>
    <w:p>
      <w:pPr>
        <w:spacing w:after="40"/>
        <w:ind w:left="576" w:hanging="576"/>
      </w:pPr>
      <w:r>
        <w:rPr>
          <w:rFonts w:ascii="Times New Roman" w:hAnsi="Times New Roman" w:eastAsia="Times New Roman"/>
          <w:b w:val="0"/>
          <w:i w:val="0"/>
          <w:sz w:val="18"/>
        </w:rPr>
        <w:t>3.</w:t>
        <w:tab/>
        <w:t>Law M, Yang S, Babb JS, et al. Comparison of cerebral blood volume and vascular permeability from dynamic susceptibility contrast-enhanced perfusion MR imaging with glioma grade. AJNR Am J Neuroradiol. 2004;25:746-755.</w:t>
      </w:r>
    </w:p>
    <w:p>
      <w:pPr>
        <w:spacing w:after="40"/>
        <w:ind w:left="576" w:hanging="576"/>
      </w:pPr>
      <w:r>
        <w:rPr>
          <w:rFonts w:ascii="Times New Roman" w:hAnsi="Times New Roman" w:eastAsia="Times New Roman"/>
          <w:b w:val="0"/>
          <w:i w:val="0"/>
          <w:sz w:val="18"/>
        </w:rPr>
        <w:t>4.</w:t>
        <w:tab/>
        <w:t>Cha S, Yang L, Johnson G, et al. Comparison of microvascular permeability measurements, K(trans), determined with conventional steady-state T1-weighted and first-pass T2*-weighted MR imaging methods in gliomas and meningiomas. AJNR Am J Neuroradiol. 2006;27:409-417.</w:t>
      </w:r>
    </w:p>
    <w:p>
      <w:pPr>
        <w:spacing w:after="40"/>
        <w:ind w:left="576" w:hanging="576"/>
      </w:pPr>
      <w:r>
        <w:rPr>
          <w:rFonts w:ascii="Times New Roman" w:hAnsi="Times New Roman" w:eastAsia="Times New Roman"/>
          <w:b w:val="0"/>
          <w:i w:val="0"/>
          <w:sz w:val="18"/>
        </w:rPr>
        <w:t>5.</w:t>
        <w:tab/>
        <w:t>Piperi C, Samaras V, Levidou G, et al. Prognostic significance of IL-8-STAT-3 pathway in astrocytomas: correlation with IL-6, VEGF and microvessel morphometry. Cytokine. 2011;55:387-395. DOI: 10.1016/j.cyto.2011.05.012</w:t>
      </w:r>
    </w:p>
    <w:p>
      <w:pPr>
        <w:spacing w:after="40"/>
        <w:ind w:left="576" w:hanging="576"/>
      </w:pPr>
      <w:r>
        <w:rPr>
          <w:rFonts w:ascii="Times New Roman" w:hAnsi="Times New Roman" w:eastAsia="Times New Roman"/>
          <w:b w:val="0"/>
          <w:i w:val="0"/>
          <w:sz w:val="18"/>
        </w:rPr>
        <w:t>6.</w:t>
        <w:tab/>
        <w:t>Portnow J, Badie B, Liu X, et al. A pilot microdialysis study in brain tumor patients to assess changes in intracerebral cytokine levels after craniotomy and in response to treatment with a targeted anti-cancer agent. J Neurooncol. 2014;118:169-177. DOI: 10.1007/s11060-014-1415-4</w:t>
      </w:r>
    </w:p>
    <w:p>
      <w:pPr>
        <w:spacing w:after="40"/>
        <w:ind w:left="576" w:hanging="576"/>
      </w:pPr>
      <w:r>
        <w:rPr>
          <w:rFonts w:ascii="Times New Roman" w:hAnsi="Times New Roman" w:eastAsia="Times New Roman"/>
          <w:b w:val="0"/>
          <w:i w:val="0"/>
          <w:sz w:val="18"/>
        </w:rPr>
        <w:t>7.</w:t>
        <w:tab/>
        <w:t>Kemmerer CL, Schittenhelm J, Dubois E, et al. Cerebrospinal fluid cytokine levels are associated with macrophage infiltration into tumor tissues of glioma patients. BMC Cancer. 2021;21:1108. DOI: 10.1186/s12885-021-08825-1</w:t>
      </w:r>
    </w:p>
    <w:p>
      <w:pPr>
        <w:spacing w:after="40"/>
        <w:ind w:left="576" w:hanging="576"/>
      </w:pPr>
      <w:r>
        <w:rPr>
          <w:rFonts w:ascii="Times New Roman" w:hAnsi="Times New Roman" w:eastAsia="Times New Roman"/>
          <w:b w:val="0"/>
          <w:i w:val="0"/>
          <w:sz w:val="18"/>
        </w:rPr>
        <w:t>8.</w:t>
        <w:tab/>
        <w:t>Grossman SA, Romo CG, Ye X, et al. Assessing the dose of regadenoson required to transiently alter blood-brain barrier integrity in patients with infiltrating gliomas. Neurooncol Adv. 2025;7:vdaf041. DOI: 10.1093/noajnl/vdaf041</w:t>
      </w:r>
    </w:p>
    <w:p>
      <w:pPr>
        <w:spacing w:after="40"/>
        <w:ind w:left="576" w:hanging="576"/>
      </w:pPr>
      <w:r>
        <w:rPr>
          <w:rFonts w:ascii="Times New Roman" w:hAnsi="Times New Roman" w:eastAsia="Times New Roman"/>
          <w:b w:val="0"/>
          <w:i w:val="0"/>
          <w:sz w:val="18"/>
        </w:rPr>
        <w:t>9.</w:t>
        <w:tab/>
        <w:t>Sastry RA, Pertsch NJ, Tang O, et al. Frailty and outcomes after craniotomy for brain tumor. J Clin Neurosci. 2020;81:95-100. DOI: 10.1016/j.jocn.2020.09.002</w:t>
      </w:r>
    </w:p>
    <w:p>
      <w:pPr>
        <w:spacing w:after="40"/>
        <w:ind w:left="576" w:hanging="576"/>
      </w:pPr>
      <w:r>
        <w:rPr>
          <w:rFonts w:ascii="Times New Roman" w:hAnsi="Times New Roman" w:eastAsia="Times New Roman"/>
          <w:b w:val="0"/>
          <w:i w:val="0"/>
          <w:sz w:val="18"/>
        </w:rPr>
        <w:t>10.</w:t>
        <w:tab/>
        <w:t>Harland TA, Wang M, Gunaydin D, et al. Frailty as a predictor of neurosurgical outcomes in brain tumor patients. World Neurosurg. 2020;133:e813-e818. DOI: 10.1016/j.wneu.2019.10.010</w:t>
      </w:r>
    </w:p>
    <w:p>
      <w:pPr>
        <w:spacing w:after="40"/>
        <w:ind w:left="576" w:hanging="576"/>
      </w:pPr>
      <w:r>
        <w:rPr>
          <w:rFonts w:ascii="Times New Roman" w:hAnsi="Times New Roman" w:eastAsia="Times New Roman"/>
          <w:b w:val="0"/>
          <w:i w:val="0"/>
          <w:sz w:val="18"/>
        </w:rPr>
        <w:t>11.</w:t>
        <w:tab/>
        <w:t>Wang CM, Ma YL, Yang XY, et al. Association of preoperative frailty with postoperative delirium after elective brain tumor resection: retrospective analysis of a prospective cohort. Surgery. 2021;170:1763-1769. DOI: 10.1016/j.surg.2021.05.048</w:t>
      </w:r>
    </w:p>
    <w:p>
      <w:pPr>
        <w:spacing w:after="40"/>
        <w:ind w:left="576" w:hanging="576"/>
      </w:pPr>
      <w:r>
        <w:rPr>
          <w:rFonts w:ascii="Times New Roman" w:hAnsi="Times New Roman" w:eastAsia="Times New Roman"/>
          <w:b w:val="0"/>
          <w:i w:val="0"/>
          <w:sz w:val="18"/>
        </w:rPr>
        <w:t>12.</w:t>
        <w:tab/>
        <w:t>Huq S, Khalafallah AM, Jimenez AE, et al. Predicting postoperative outcomes in brain tumor patients with a 5-factor modified frailty index. Neurosurgery. 2021;88:147-154. DOI: 10.1093/neuros/nyaa335</w:t>
      </w:r>
    </w:p>
    <w:p>
      <w:pPr>
        <w:spacing w:after="40"/>
        <w:ind w:left="576" w:hanging="576"/>
      </w:pPr>
      <w:r>
        <w:rPr>
          <w:rFonts w:ascii="Times New Roman" w:hAnsi="Times New Roman" w:eastAsia="Times New Roman"/>
          <w:b w:val="0"/>
          <w:i w:val="0"/>
          <w:sz w:val="18"/>
        </w:rPr>
        <w:t>13.</w:t>
        <w:tab/>
        <w:t>Skandalakis GP, Medani K, Rumalla K, et al. Preoperative frailty and 30-day mortality after resection of brain metastases: a multicenter surgical registry analysis of 11,038 patients. Neurosurg Focus. 2023;55:E8. DOI: 10.3171/2023.5.focus23198</w:t>
      </w:r>
    </w:p>
    <w:p>
      <w:pPr>
        <w:spacing w:after="40"/>
        <w:ind w:left="576" w:hanging="576"/>
      </w:pPr>
      <w:r>
        <w:rPr>
          <w:rFonts w:ascii="Times New Roman" w:hAnsi="Times New Roman" w:eastAsia="Times New Roman"/>
          <w:b w:val="0"/>
          <w:i w:val="0"/>
          <w:sz w:val="18"/>
        </w:rPr>
        <w:t>14.</w:t>
        <w:tab/>
        <w:t>Tucha O, Smely C, Preier M, et al. Preoperative and postoperative cognitive functioning in patients with frontal meningiomas. J Neurosurg. 2003;98:21-31. DOI: 10.3171/jns.2003.98.1.0021</w:t>
      </w:r>
    </w:p>
    <w:p>
      <w:pPr>
        <w:spacing w:after="40"/>
        <w:ind w:left="576" w:hanging="576"/>
      </w:pPr>
      <w:r>
        <w:rPr>
          <w:rFonts w:ascii="Times New Roman" w:hAnsi="Times New Roman" w:eastAsia="Times New Roman"/>
          <w:b w:val="0"/>
          <w:i w:val="0"/>
          <w:sz w:val="18"/>
        </w:rPr>
        <w:t>15.</w:t>
        <w:tab/>
        <w:t>Satoer D, Vork J, Visch-Brink E, et al. Cognitive functioning early after surgery of gliomas in eloquent areas. J Neurosurg. 2012;117:831-838. DOI: 10.3171/2012.7.jns12263</w:t>
      </w:r>
    </w:p>
    <w:p>
      <w:pPr>
        <w:spacing w:after="40"/>
        <w:ind w:left="576" w:hanging="576"/>
      </w:pPr>
      <w:r>
        <w:rPr>
          <w:rFonts w:ascii="Times New Roman" w:hAnsi="Times New Roman" w:eastAsia="Times New Roman"/>
          <w:b w:val="0"/>
          <w:i w:val="0"/>
          <w:sz w:val="18"/>
        </w:rPr>
        <w:t>16.</w:t>
        <w:tab/>
        <w:t>van Dellen E, de Witt Hamer PC, Douw L, et al. Connectivity in MEG resting-state networks increases after resective surgery for low-grade glioma and correlates with improved cognitive performance. Neuroimage Clin. 2013;2:1-7. DOI: 10.1016/j.nicl.2012.10.007</w:t>
      </w:r>
    </w:p>
    <w:p>
      <w:pPr>
        <w:spacing w:after="40"/>
        <w:ind w:left="576" w:hanging="576"/>
      </w:pPr>
      <w:r>
        <w:rPr>
          <w:rFonts w:ascii="Times New Roman" w:hAnsi="Times New Roman" w:eastAsia="Times New Roman"/>
          <w:b w:val="0"/>
          <w:i w:val="0"/>
          <w:sz w:val="18"/>
        </w:rPr>
        <w:t>17.</w:t>
        <w:tab/>
        <w:t>Satoer D, Visch-Brink E, Smits M, et al. Long-term evaluation of cognition after glioma surgery in eloquent areas. J Neurooncol. 2014;116:153-160. DOI: 10.1007/s11060-013-1275-3</w:t>
      </w:r>
    </w:p>
    <w:p>
      <w:pPr>
        <w:spacing w:after="40"/>
        <w:ind w:left="576" w:hanging="576"/>
      </w:pPr>
      <w:r>
        <w:rPr>
          <w:rFonts w:ascii="Times New Roman" w:hAnsi="Times New Roman" w:eastAsia="Times New Roman"/>
          <w:b w:val="0"/>
          <w:i w:val="0"/>
          <w:sz w:val="18"/>
        </w:rPr>
        <w:t>18.</w:t>
        <w:tab/>
        <w:t>Meskal I, Gehring K, van der Linden SD, et al. Cognitive improvement in meningioma patients after surgery: clinical relevance of computerized testing. J Neurooncol. 2015;121:617-625. DOI: 10.1007/s11060-014-1679-8</w:t>
      </w:r>
    </w:p>
    <w:p>
      <w:pPr>
        <w:spacing w:after="40"/>
        <w:ind w:left="576" w:hanging="576"/>
      </w:pPr>
      <w:r>
        <w:rPr>
          <w:rFonts w:ascii="Times New Roman" w:hAnsi="Times New Roman" w:eastAsia="Times New Roman"/>
          <w:b w:val="0"/>
          <w:i w:val="0"/>
          <w:sz w:val="18"/>
        </w:rPr>
        <w:t>19.</w:t>
        <w:tab/>
        <w:t>Bommakanti K, Somayajula S, Suvarna A, et al. Pre-operative and post-operative cognitive deficits in patients with supratentorial meningiomas. Clin Neurol Neurosurg. 2016;143:150-158. DOI: 10.1016/j.clineuro.2016.02.033</w:t>
      </w:r>
    </w:p>
    <w:p>
      <w:pPr>
        <w:spacing w:after="40"/>
        <w:ind w:left="576" w:hanging="576"/>
      </w:pPr>
      <w:r>
        <w:rPr>
          <w:rFonts w:ascii="Times New Roman" w:hAnsi="Times New Roman" w:eastAsia="Times New Roman"/>
          <w:b w:val="0"/>
          <w:i w:val="0"/>
          <w:sz w:val="18"/>
        </w:rPr>
        <w:t>20.</w:t>
        <w:tab/>
        <w:t>Lang S, Gaxiola-Valdez I, Opoku-Darko M, et al. Functional connectivity in frontoparietal network: indicator of preoperative cognitive function and cognitive outcome following surgery in patients with glioma. World Neurosurg. 2017;105:913-922.e2. DOI: 10.1016/j.wneu.2017.05.149</w:t>
      </w:r>
    </w:p>
    <w:p>
      <w:pPr>
        <w:spacing w:after="40"/>
        <w:ind w:left="576" w:hanging="576"/>
      </w:pPr>
      <w:r>
        <w:rPr>
          <w:rFonts w:ascii="Times New Roman" w:hAnsi="Times New Roman" w:eastAsia="Times New Roman"/>
          <w:b w:val="0"/>
          <w:i w:val="0"/>
          <w:sz w:val="18"/>
        </w:rPr>
        <w:t>21.</w:t>
        <w:tab/>
        <w:t>Hoffermann M, Bruckmann L, Mahdy Ali K, et al. Pre- and postoperative neurocognitive deficits in brain tumor patients assessed by a computer based screening test. J Clin Neurosci. 2017;36:31-36. DOI: 10.1016/j.jocn.2016.10.030</w:t>
      </w:r>
    </w:p>
    <w:p>
      <w:pPr>
        <w:spacing w:after="40"/>
        <w:ind w:left="576" w:hanging="576"/>
      </w:pPr>
      <w:r>
        <w:rPr>
          <w:rFonts w:ascii="Times New Roman" w:hAnsi="Times New Roman" w:eastAsia="Times New Roman"/>
          <w:b w:val="0"/>
          <w:i w:val="0"/>
          <w:sz w:val="18"/>
        </w:rPr>
        <w:t>22.</w:t>
        <w:tab/>
        <w:t>van Nieuwenhuizen D, Douw L, Klein M, et al. Cognitive functioning and functional brain networks in postoperative WHO grade I meningioma patients. J Neurooncol. 2018;140:605-613. DOI: 10.1007/s11060-018-2987-1</w:t>
      </w:r>
    </w:p>
    <w:p>
      <w:pPr>
        <w:spacing w:after="40"/>
        <w:ind w:left="576" w:hanging="576"/>
      </w:pPr>
      <w:r>
        <w:rPr>
          <w:rFonts w:ascii="Times New Roman" w:hAnsi="Times New Roman" w:eastAsia="Times New Roman"/>
          <w:b w:val="0"/>
          <w:i w:val="0"/>
          <w:sz w:val="18"/>
        </w:rPr>
        <w:t>23.</w:t>
        <w:tab/>
        <w:t>Barzilai O, Ben Moshe S, Sitt R, et al. Improvement in cognitive function after surgery for low-grade glioma. J Neurosurg. 2019;130:426-434. DOI: 10.3171/2017.9.jns17658</w:t>
      </w:r>
    </w:p>
    <w:p>
      <w:pPr>
        <w:spacing w:after="40"/>
        <w:ind w:left="576" w:hanging="576"/>
      </w:pPr>
      <w:r>
        <w:rPr>
          <w:rFonts w:ascii="Times New Roman" w:hAnsi="Times New Roman" w:eastAsia="Times New Roman"/>
          <w:b w:val="0"/>
          <w:i w:val="0"/>
          <w:sz w:val="18"/>
        </w:rPr>
        <w:t>24.</w:t>
        <w:tab/>
        <w:t>Capo G, Skrap M, Guarracino I, et al. Cognitive functions in repeated glioma surgery. Cancers (Basel). 2020;12:1077. DOI: 10.3390/cancers12051077</w:t>
      </w:r>
    </w:p>
    <w:p>
      <w:pPr>
        <w:spacing w:after="40"/>
        <w:ind w:left="576" w:hanging="576"/>
      </w:pPr>
      <w:r>
        <w:rPr>
          <w:rFonts w:ascii="Times New Roman" w:hAnsi="Times New Roman" w:eastAsia="Times New Roman"/>
          <w:b w:val="0"/>
          <w:i w:val="0"/>
          <w:sz w:val="18"/>
        </w:rPr>
        <w:t>25.</w:t>
        <w:tab/>
        <w:t>Niki C, Kumada T, Maruyama T, et al. Primary cognitive factors impaired after glioma surgery and associated brain regions. Behav Neurol. 2020;2020:7941689. DOI: 10.1155/2020/7941689</w:t>
      </w:r>
    </w:p>
    <w:p>
      <w:pPr>
        <w:spacing w:after="40"/>
        <w:ind w:left="576" w:hanging="576"/>
      </w:pPr>
      <w:r>
        <w:rPr>
          <w:rFonts w:ascii="Times New Roman" w:hAnsi="Times New Roman" w:eastAsia="Times New Roman"/>
          <w:b w:val="0"/>
          <w:i w:val="0"/>
          <w:sz w:val="18"/>
        </w:rPr>
        <w:t>26.</w:t>
        <w:tab/>
        <w:t>Noll KR, Chen HS, Wefel JS, et al. Alterations in functional connectomics associated with neurocognitive changes following glioma resection. Neurosurgery. 2021;88:544-551. DOI: 10.1093/neuros/nyaa453</w:t>
      </w:r>
    </w:p>
    <w:p>
      <w:pPr>
        <w:spacing w:after="40"/>
        <w:ind w:left="576" w:hanging="576"/>
      </w:pPr>
      <w:r>
        <w:rPr>
          <w:rFonts w:ascii="Times New Roman" w:hAnsi="Times New Roman" w:eastAsia="Times New Roman"/>
          <w:b w:val="0"/>
          <w:i w:val="0"/>
          <w:sz w:val="18"/>
        </w:rPr>
        <w:t>27.</w:t>
        <w:tab/>
        <w:t>Stålnacke M, Bergenheim T, Sjöberg RL. Neuropsychological function and quality of life after resection of suspected lower-grade glioma in the face primary motor area. J Clin Med. 2021;10:580. DOI: 10.3390/jcm10040580</w:t>
      </w:r>
    </w:p>
    <w:p>
      <w:pPr>
        <w:spacing w:after="40"/>
        <w:ind w:left="576" w:hanging="576"/>
      </w:pPr>
      <w:r>
        <w:rPr>
          <w:rFonts w:ascii="Times New Roman" w:hAnsi="Times New Roman" w:eastAsia="Times New Roman"/>
          <w:b w:val="0"/>
          <w:i w:val="0"/>
          <w:sz w:val="18"/>
        </w:rPr>
        <w:t>28.</w:t>
        <w:tab/>
        <w:t>Zarino B, Sirtori MA, Meschini T, et al. Insular lobe surgery and cognitive impairment in gliomas operated with intraoperative neurophysiological monitoring. Acta Neurochir (Wien). 2021;163:1279-1289. DOI: 10.1007/s00701-020-04643-9</w:t>
      </w:r>
    </w:p>
    <w:p>
      <w:pPr>
        <w:spacing w:after="40"/>
        <w:ind w:left="576" w:hanging="576"/>
      </w:pPr>
      <w:r>
        <w:rPr>
          <w:rFonts w:ascii="Times New Roman" w:hAnsi="Times New Roman" w:eastAsia="Times New Roman"/>
          <w:b w:val="0"/>
          <w:i w:val="0"/>
          <w:sz w:val="18"/>
        </w:rPr>
        <w:t>29.</w:t>
        <w:tab/>
        <w:t>Schei S, Solheim O, Salvesen Ø, et al. Patient-reported cognitive function before and after glioma surgery. Acta Neurochir (Wien). 2022;164:2009-2019. DOI: 10.1007/s00701-022-05261-3</w:t>
      </w:r>
    </w:p>
    <w:p>
      <w:pPr>
        <w:spacing w:after="40"/>
        <w:ind w:left="576" w:hanging="576"/>
      </w:pPr>
      <w:r>
        <w:rPr>
          <w:rFonts w:ascii="Times New Roman" w:hAnsi="Times New Roman" w:eastAsia="Times New Roman"/>
          <w:b w:val="0"/>
          <w:i w:val="0"/>
          <w:sz w:val="18"/>
        </w:rPr>
        <w:t>30.</w:t>
        <w:tab/>
        <w:t>Zangrossi A, Silvestri E, Bisio M, et al. Presurgical predictors of early cognitive outcome after brain tumor resection in glioma patients. Neuroimage Clin. 2022;36:103219. DOI: 10.1016/j.nicl.2022.103219</w:t>
      </w:r>
    </w:p>
    <w:p>
      <w:pPr>
        <w:spacing w:after="40"/>
        <w:ind w:left="576" w:hanging="576"/>
      </w:pPr>
      <w:r>
        <w:rPr>
          <w:rFonts w:ascii="Times New Roman" w:hAnsi="Times New Roman" w:eastAsia="Times New Roman"/>
          <w:b w:val="0"/>
          <w:i w:val="0"/>
          <w:sz w:val="18"/>
        </w:rPr>
        <w:t>31.</w:t>
        <w:tab/>
        <w:t>Barberis M, Poisson I, Facque V, et al. Group-level stability but individual variability of neurocognitive status after awake resections of right frontal IDH-mutated glioma. Sci Rep. 2022;12:6126. DOI: 10.1038/s41598-022-08702-2</w:t>
      </w:r>
    </w:p>
    <w:p>
      <w:pPr>
        <w:spacing w:after="40"/>
        <w:ind w:left="576" w:hanging="576"/>
      </w:pPr>
      <w:r>
        <w:rPr>
          <w:rFonts w:ascii="Times New Roman" w:hAnsi="Times New Roman" w:eastAsia="Times New Roman"/>
          <w:b w:val="0"/>
          <w:i w:val="0"/>
          <w:sz w:val="18"/>
        </w:rPr>
        <w:t>32.</w:t>
        <w:tab/>
        <w:t>de Sain AM, Mantione MHM, Wajer IMCH, et al. A timeline of cognitive functioning in glioma patients who undergo awake brain tumor surgery. Acta Neurochir (Wien). 2023;165:1645-1653. DOI: 10.1007/s00701-023-05588-5</w:t>
      </w:r>
    </w:p>
    <w:p>
      <w:pPr>
        <w:spacing w:after="40"/>
        <w:ind w:left="576" w:hanging="576"/>
      </w:pPr>
      <w:r>
        <w:rPr>
          <w:rFonts w:ascii="Times New Roman" w:hAnsi="Times New Roman" w:eastAsia="Times New Roman"/>
          <w:b w:val="0"/>
          <w:i w:val="0"/>
          <w:sz w:val="18"/>
        </w:rPr>
        <w:t>33.</w:t>
        <w:tab/>
        <w:t>Schouwenaars IT, de Dreu MJ, Rutten GM, et al. Cognitive brain activity before and after surgery in meningioma patients. Eur J Neurosci. 2024;60:3759-3771. DOI: 10.1111/ejn.16378</w:t>
      </w:r>
    </w:p>
    <w:p>
      <w:pPr>
        <w:spacing w:after="40"/>
        <w:ind w:left="576" w:hanging="576"/>
      </w:pPr>
      <w:r>
        <w:rPr>
          <w:rFonts w:ascii="Times New Roman" w:hAnsi="Times New Roman" w:eastAsia="Times New Roman"/>
          <w:b w:val="0"/>
          <w:i w:val="0"/>
          <w:sz w:val="18"/>
        </w:rPr>
        <w:t>34.</w:t>
        <w:tab/>
        <w:t>Tran TM, Khanmohammadi S. Presurgical neural energy landscapes predict postoperative working memory outcome after brain tumor resection. arXiv. Published online 2025. DOI: 10.48550/arXiv.2507.23057</w:t>
      </w:r>
    </w:p>
    <w:p>
      <w:pPr>
        <w:spacing w:after="40"/>
        <w:ind w:left="576" w:hanging="576"/>
      </w:pPr>
      <w:r>
        <w:rPr>
          <w:rFonts w:ascii="Times New Roman" w:hAnsi="Times New Roman" w:eastAsia="Times New Roman"/>
          <w:b w:val="0"/>
          <w:i w:val="0"/>
          <w:sz w:val="18"/>
        </w:rPr>
        <w:t>35.</w:t>
        <w:tab/>
        <w:t>Zigiotto L, Venturini R, Coletta L, et al. Maximizing tumor resection and managing cognitive attentional outcomes: measures of impact of awake surgery in glioma treatment. Neurosurgery. 2026;98:365-375. DOI: 10.1227/neu.0000000000003591</w:t>
      </w:r>
    </w:p>
    <w:p>
      <w:pPr>
        <w:spacing w:after="40"/>
        <w:ind w:left="576" w:hanging="576"/>
      </w:pPr>
      <w:r>
        <w:rPr>
          <w:rFonts w:ascii="Times New Roman" w:hAnsi="Times New Roman" w:eastAsia="Times New Roman"/>
          <w:b w:val="0"/>
          <w:i w:val="0"/>
          <w:sz w:val="18"/>
        </w:rPr>
        <w:t>36.</w:t>
        <w:tab/>
        <w:t>Huang HW, Yan LM, Yang YL, et al. Bi-frontal pneumocephalus is an independent risk factor for early postoperative agitation in adult patients admitted to intensive care unit after elective craniotomy for brain tumor: a prospective cohort study. PLoS One. 2018;13:e0201064. DOI: 10.1371/journal.pone.0201064</w:t>
      </w:r>
    </w:p>
    <w:p>
      <w:pPr>
        <w:spacing w:after="40"/>
        <w:ind w:left="576" w:hanging="576"/>
      </w:pPr>
      <w:r>
        <w:rPr>
          <w:rFonts w:ascii="Times New Roman" w:hAnsi="Times New Roman" w:eastAsia="Times New Roman"/>
          <w:b w:val="0"/>
          <w:i w:val="0"/>
          <w:sz w:val="18"/>
        </w:rPr>
        <w:t>37.</w:t>
        <w:tab/>
        <w:t>Budėnas A, Tamašauskas Š, Šliaužys A, et al. Incidence and clinical significance of postoperative delirium after brain tumor surgery. Acta Neurochir (Wien). 2018;160:2327-2337. DOI: 10.1007/s00701-018-3718-2</w:t>
      </w:r>
    </w:p>
    <w:p>
      <w:pPr>
        <w:spacing w:after="40"/>
        <w:ind w:left="576" w:hanging="576"/>
      </w:pPr>
      <w:r>
        <w:rPr>
          <w:rFonts w:ascii="Times New Roman" w:hAnsi="Times New Roman" w:eastAsia="Times New Roman"/>
          <w:b w:val="0"/>
          <w:i w:val="0"/>
          <w:sz w:val="18"/>
        </w:rPr>
        <w:t>38.</w:t>
        <w:tab/>
        <w:t>Chen H, Jiang H, Chen B, et al. The incidence and predictors of postoperative delirium after brain tumor resection in adults: a cross-sectional survey. World Neurosurg. 2020;140:e129-e139. DOI: 10.1016/j.wneu.2020.04.195</w:t>
      </w:r>
    </w:p>
    <w:p>
      <w:pPr>
        <w:spacing w:after="40"/>
        <w:ind w:left="576" w:hanging="576"/>
      </w:pPr>
      <w:r>
        <w:rPr>
          <w:rFonts w:ascii="Times New Roman" w:hAnsi="Times New Roman" w:eastAsia="Times New Roman"/>
          <w:b w:val="0"/>
          <w:i w:val="0"/>
          <w:sz w:val="18"/>
        </w:rPr>
        <w:t>39.</w:t>
        <w:tab/>
        <w:t>Gu WJ, Zhou JX, Ji RQ, et al. Incidence, risk factors, and consequences of emergence delirium after elective brain tumor resection. Surgeon. 2022;20:e214-e220. DOI: 10.1016/j.surge.2021.09.005</w:t>
      </w:r>
    </w:p>
    <w:p>
      <w:pPr>
        <w:spacing w:after="40"/>
        <w:ind w:left="576" w:hanging="576"/>
      </w:pPr>
      <w:r>
        <w:rPr>
          <w:rFonts w:ascii="Times New Roman" w:hAnsi="Times New Roman" w:eastAsia="Times New Roman"/>
          <w:b w:val="0"/>
          <w:i w:val="0"/>
          <w:sz w:val="18"/>
        </w:rPr>
        <w:t>40.</w:t>
        <w:tab/>
        <w:t>Fu W, Li Y, Liu R, et al. Incidence and risk factors of delirium following brain tumor resection: a retrospective national inpatient sample database study. World Neurosurg. 2024;189:e533-e543. DOI: 10.1016/j.wneu.2024.06.108</w:t>
      </w:r>
    </w:p>
    <w:p>
      <w:pPr>
        <w:spacing w:after="40"/>
        <w:ind w:left="576" w:hanging="576"/>
      </w:pPr>
      <w:r>
        <w:rPr>
          <w:rFonts w:ascii="Times New Roman" w:hAnsi="Times New Roman" w:eastAsia="Times New Roman"/>
          <w:b w:val="0"/>
          <w:i w:val="0"/>
          <w:sz w:val="18"/>
        </w:rPr>
        <w:t>41.</w:t>
        <w:tab/>
        <w:t>Wu Y, Ren Y, Li S, et al. Association between intraoperative hypotension during brain tumor resection and postoperative delirium: a secondary analysis of a randomized controlled trial. PLoS One. 2025;20:e0334094. DOI: 10.1371/journal.pone.0334094</w:t>
      </w:r>
    </w:p>
    <w:p>
      <w:pPr>
        <w:spacing w:after="40"/>
        <w:ind w:left="576" w:hanging="576"/>
      </w:pPr>
      <w:r>
        <w:rPr>
          <w:rFonts w:ascii="Times New Roman" w:hAnsi="Times New Roman" w:eastAsia="Times New Roman"/>
          <w:b w:val="0"/>
          <w:i w:val="0"/>
          <w:sz w:val="18"/>
        </w:rPr>
        <w:t>42.</w:t>
        <w:tab/>
        <w:t>Stranjalis G, Korfias S, Psachoulia C, et al. Serum S-100B as an indicator of early postoperative deterioration after meningioma surgery. Clin Chem. 2005;51:202-207. DOI: 10.1373/clinchem.2004.039719</w:t>
      </w:r>
    </w:p>
    <w:p>
      <w:pPr>
        <w:spacing w:after="40"/>
        <w:ind w:left="576" w:hanging="576"/>
      </w:pPr>
      <w:r>
        <w:rPr>
          <w:rFonts w:ascii="Times New Roman" w:hAnsi="Times New Roman" w:eastAsia="Times New Roman"/>
          <w:b w:val="0"/>
          <w:i w:val="0"/>
          <w:sz w:val="18"/>
        </w:rPr>
        <w:t>43.</w:t>
        <w:tab/>
        <w:t>Einav S, Shoshan Y, Ovadia H, et al. Early postoperative serum S100β levels predict ongoing brain damage after meningioma surgery: a prospective observational study. Crit Care. 2006;10:R141. DOI: 10.1186/cc5058</w:t>
      </w:r>
    </w:p>
    <w:p>
      <w:pPr>
        <w:spacing w:after="40"/>
        <w:ind w:left="576" w:hanging="576"/>
      </w:pPr>
      <w:r>
        <w:rPr>
          <w:rFonts w:ascii="Times New Roman" w:hAnsi="Times New Roman" w:eastAsia="Times New Roman"/>
          <w:b w:val="0"/>
          <w:i w:val="0"/>
          <w:sz w:val="18"/>
        </w:rPr>
        <w:t>44.</w:t>
        <w:tab/>
        <w:t>Khan RB, Gutin PH, Rai SN, et al. Use of diffusion weighted MRI in predicting early postoperative outcome of new neurological deficits after brain tumor resection. Neurosurgery. 2006;59:60-66. DOI: 10.1227/01.neu.0000219218.43128.fc</w:t>
      </w:r>
    </w:p>
    <w:p>
      <w:pPr>
        <w:spacing w:after="40"/>
        <w:ind w:left="576" w:hanging="576"/>
      </w:pPr>
      <w:r>
        <w:rPr>
          <w:rFonts w:ascii="Times New Roman" w:hAnsi="Times New Roman" w:eastAsia="Times New Roman"/>
          <w:b w:val="0"/>
          <w:i w:val="0"/>
          <w:sz w:val="18"/>
        </w:rPr>
        <w:t>45.</w:t>
        <w:tab/>
        <w:t>Sharma D, Bithal PK, Dash HH, et al. Cerebral autoregulation and CO2 reactivity before and after elective supratentorial tumor resection. J Neurosurg Anesthesiol. 2010;22:132-137. DOI: 10.1097/ana.0b013e3181c9fbf1</w:t>
      </w:r>
    </w:p>
    <w:p>
      <w:pPr>
        <w:spacing w:after="40"/>
        <w:ind w:left="576" w:hanging="576"/>
      </w:pPr>
      <w:r>
        <w:rPr>
          <w:rFonts w:ascii="Times New Roman" w:hAnsi="Times New Roman" w:eastAsia="Times New Roman"/>
          <w:b w:val="0"/>
          <w:i w:val="0"/>
          <w:sz w:val="18"/>
        </w:rPr>
        <w:t>46.</w:t>
        <w:tab/>
        <w:t>Gempt J, Krieg SM, Hüttinger S, et al. Postoperative ischemic changes after glioma resection identified by diffusion-weighted magnetic resonance imaging and their association with intraoperative motor evoked potentials. J Neurosurg. 2013;119:829-836. DOI: 10.3171/2013.5.jns121981</w:t>
      </w:r>
    </w:p>
    <w:p>
      <w:pPr>
        <w:spacing w:after="40"/>
        <w:ind w:left="576" w:hanging="576"/>
      </w:pPr>
      <w:r>
        <w:rPr>
          <w:rFonts w:ascii="Times New Roman" w:hAnsi="Times New Roman" w:eastAsia="Times New Roman"/>
          <w:b w:val="0"/>
          <w:i w:val="0"/>
          <w:sz w:val="18"/>
        </w:rPr>
        <w:t>47.</w:t>
        <w:tab/>
        <w:t>Gempt J, Förschler A, Buchmann N, et al. Postoperative ischemic changes following resection of newly diagnosed and recurrent gliomas and their clinical relevance. J Neurosurg. 2013;118:801-808. DOI: 10.3171/2012.12.jns12125</w:t>
      </w:r>
    </w:p>
    <w:p>
      <w:pPr>
        <w:spacing w:after="40"/>
        <w:ind w:left="576" w:hanging="576"/>
      </w:pPr>
      <w:r>
        <w:rPr>
          <w:rFonts w:ascii="Times New Roman" w:hAnsi="Times New Roman" w:eastAsia="Times New Roman"/>
          <w:b w:val="0"/>
          <w:i w:val="0"/>
          <w:sz w:val="18"/>
        </w:rPr>
        <w:t>48.</w:t>
        <w:tab/>
        <w:t>Baumgarten P, Quick-Weller J, Gessler F, et al. Pre- and early postoperative GFAP serum levels in glioma and brain metastases. J Neurooncol. 2018;139:541-546. DOI: 10.1007/s11060-018-2898-1</w:t>
      </w:r>
    </w:p>
    <w:p>
      <w:pPr>
        <w:spacing w:after="40"/>
        <w:ind w:left="576" w:hanging="576"/>
      </w:pPr>
      <w:r>
        <w:rPr>
          <w:rFonts w:ascii="Times New Roman" w:hAnsi="Times New Roman" w:eastAsia="Times New Roman"/>
          <w:b w:val="0"/>
          <w:i w:val="0"/>
          <w:sz w:val="18"/>
        </w:rPr>
        <w:t>49.</w:t>
        <w:tab/>
        <w:t>Strand PS, Berntsen EM, Fyllingen EH, et al. Brain infarctions after glioma surgery: prevalence, radiological characteristics and risk factors. Acta Neurochir (Wien). 2021;163:3097-3108. DOI: 10.1007/s00701-021-04914-z</w:t>
      </w:r>
    </w:p>
    <w:p>
      <w:pPr>
        <w:spacing w:after="40"/>
        <w:ind w:left="576" w:hanging="576"/>
      </w:pPr>
      <w:r>
        <w:rPr>
          <w:rFonts w:ascii="Times New Roman" w:hAnsi="Times New Roman" w:eastAsia="Times New Roman"/>
          <w:b w:val="0"/>
          <w:i w:val="0"/>
          <w:sz w:val="18"/>
        </w:rPr>
        <w:t>50.</w:t>
        <w:tab/>
        <w:t>Strand PS, Sagberg LM, Gulati S, et al. Brain infarction following meningioma surgery-incidence, risk factors, and impact on function, seizure risk, and patient-reported quality of life. Neurosurg Rev. 2022;45:3237-3244. DOI: 10.1007/s10143-022-01840-1</w:t>
      </w:r>
    </w:p>
    <w:p>
      <w:pPr>
        <w:spacing w:after="40"/>
        <w:ind w:left="576" w:hanging="576"/>
      </w:pPr>
      <w:r>
        <w:rPr>
          <w:rFonts w:ascii="Times New Roman" w:hAnsi="Times New Roman" w:eastAsia="Times New Roman"/>
          <w:b w:val="0"/>
          <w:i w:val="0"/>
          <w:sz w:val="18"/>
        </w:rPr>
        <w:t>51.</w:t>
        <w:tab/>
        <w:t>Michaëlsson I, Hallén T, Carstam L, et al. Circulating brain injury biomarkers: a novel method for quantification of the impact on the brain after tumor surgery. Neurosurgery. 2023;93:847-856. DOI: 10.1227/neu.0000000000002510</w:t>
      </w:r>
    </w:p>
    <w:p>
      <w:pPr>
        <w:spacing w:after="40"/>
        <w:ind w:left="576" w:hanging="576"/>
      </w:pPr>
      <w:r>
        <w:rPr>
          <w:rFonts w:ascii="Times New Roman" w:hAnsi="Times New Roman" w:eastAsia="Times New Roman"/>
          <w:b w:val="0"/>
          <w:i w:val="0"/>
          <w:sz w:val="18"/>
        </w:rPr>
        <w:t>52.</w:t>
        <w:tab/>
        <w:t>Favre JB, Gardaz JP, Ravussin P. Effect of clonidine on ICP and on the hemodynamic responses to nociceptive stimuli in patients with brain tumors. J Neurosurg Anesthesiol. 1995;7:159-167. DOI: 10.1097/00008506-199507000-00001</w:t>
      </w:r>
    </w:p>
    <w:p>
      <w:pPr>
        <w:spacing w:after="40"/>
        <w:ind w:left="576" w:hanging="576"/>
      </w:pPr>
      <w:r>
        <w:rPr>
          <w:rFonts w:ascii="Times New Roman" w:hAnsi="Times New Roman" w:eastAsia="Times New Roman"/>
          <w:b w:val="0"/>
          <w:i w:val="0"/>
          <w:sz w:val="18"/>
        </w:rPr>
        <w:t>53.</w:t>
        <w:tab/>
        <w:t>Guy J, Hindman BJ, Baker KZ, et al. Comparison of remifentanil and fentanyl in patients undergoing craniotomy for supratentorial space-occupying lesions. Anesthesiology. 1997;86:514-524. DOI: 10.1097/00000542-199703000-00002</w:t>
      </w:r>
    </w:p>
    <w:p>
      <w:pPr>
        <w:spacing w:after="40"/>
        <w:ind w:left="576" w:hanging="576"/>
      </w:pPr>
      <w:r>
        <w:rPr>
          <w:rFonts w:ascii="Times New Roman" w:hAnsi="Times New Roman" w:eastAsia="Times New Roman"/>
          <w:b w:val="0"/>
          <w:i w:val="0"/>
          <w:sz w:val="18"/>
        </w:rPr>
        <w:t>54.</w:t>
        <w:tab/>
        <w:t>Lu ZH, Bai XG, Xiong LZ, et al. Effect of electroacupuncture preconditioning on serum S100β and NSE in patients undergoing craniocerebral tumor resection. Chin J Integr Med. 2010;16:229-233. DOI: 10.1007/s11655-010-0229-6</w:t>
      </w:r>
    </w:p>
    <w:p>
      <w:pPr>
        <w:spacing w:after="40"/>
        <w:ind w:left="576" w:hanging="576"/>
      </w:pPr>
      <w:r>
        <w:rPr>
          <w:rFonts w:ascii="Times New Roman" w:hAnsi="Times New Roman" w:eastAsia="Times New Roman"/>
          <w:b w:val="0"/>
          <w:i w:val="0"/>
          <w:sz w:val="18"/>
        </w:rPr>
        <w:t>55.</w:t>
        <w:tab/>
        <w:t>Mousa SA, Elmaged NAEA, Ramadan TH, et al. Cerebral hemodynamics and oxygenation during brain tumor resection: a comparative study between different types of infusates. Egypt J Anaesth. 2011;27:67-76. DOI: 10.1016/j.egja.2011.01.005</w:t>
      </w:r>
    </w:p>
    <w:p>
      <w:pPr>
        <w:spacing w:after="40"/>
        <w:ind w:left="576" w:hanging="576"/>
      </w:pPr>
      <w:r>
        <w:rPr>
          <w:rFonts w:ascii="Times New Roman" w:hAnsi="Times New Roman" w:eastAsia="Times New Roman"/>
          <w:b w:val="0"/>
          <w:i w:val="0"/>
          <w:sz w:val="18"/>
        </w:rPr>
        <w:t>56.</w:t>
        <w:tab/>
        <w:t>Mirrahimi B, Mortazavi A, Nouri M, et al. Effect of magnesium on functional outcome and paraclinical parameters of patients undergoing supratentorial craniotomy for brain tumors: a randomized controlled trial. Acta Neurochir (Wien). 2015;157:985-991. DOI: 10.1007/s00701-015-2376-x</w:t>
      </w:r>
    </w:p>
    <w:p>
      <w:pPr>
        <w:spacing w:after="40"/>
        <w:ind w:left="576" w:hanging="576"/>
      </w:pPr>
      <w:r>
        <w:rPr>
          <w:rFonts w:ascii="Times New Roman" w:hAnsi="Times New Roman" w:eastAsia="Times New Roman"/>
          <w:b w:val="0"/>
          <w:i w:val="0"/>
          <w:sz w:val="18"/>
        </w:rPr>
        <w:t>57.</w:t>
        <w:tab/>
        <w:t>Peng Y, Zhang W, Zhou X, et al. Lidocaine did not reduce neuropsychological-cognitive decline in patients 6 months after supratentorial tumor surgery. J Neurosurg Anesthesiol. 2016;28:6-13. DOI: 10.1097/ana.0000000000000171</w:t>
      </w:r>
    </w:p>
    <w:p>
      <w:pPr>
        <w:spacing w:after="40"/>
        <w:ind w:left="576" w:hanging="576"/>
      </w:pPr>
      <w:r>
        <w:rPr>
          <w:rFonts w:ascii="Times New Roman" w:hAnsi="Times New Roman" w:eastAsia="Times New Roman"/>
          <w:b w:val="0"/>
          <w:i w:val="0"/>
          <w:sz w:val="18"/>
        </w:rPr>
        <w:t>58.</w:t>
        <w:tab/>
        <w:t>Wu CY, Lin YS, Tseng HM, et al. Comparison of two stroke volume variation-based goal-directed fluid therapies for supratentorial brain tumour resection: a randomized controlled trial. Br J Anaesth. 2017;119:934-942. DOI: 10.1093/bja/aex189</w:t>
      </w:r>
    </w:p>
    <w:p>
      <w:pPr>
        <w:spacing w:after="40"/>
        <w:ind w:left="576" w:hanging="576"/>
      </w:pPr>
      <w:r>
        <w:rPr>
          <w:rFonts w:ascii="Times New Roman" w:hAnsi="Times New Roman" w:eastAsia="Times New Roman"/>
          <w:b w:val="0"/>
          <w:i w:val="0"/>
          <w:sz w:val="18"/>
        </w:rPr>
        <w:t>59.</w:t>
        <w:tab/>
        <w:t>Hernández-Palazón J, Fuentes-García D, Doménech-Asensi P, et al. A dose-response relationship study of hypertonic saline on brain relaxation during supratentorial brain tumour craniotomy. Br J Neurosurg. 2018;32:619-627. DOI: 10.1080/02688697.2018.1508640</w:t>
      </w:r>
    </w:p>
    <w:p>
      <w:pPr>
        <w:spacing w:after="40"/>
        <w:ind w:left="576" w:hanging="576"/>
      </w:pPr>
      <w:r>
        <w:rPr>
          <w:rFonts w:ascii="Times New Roman" w:hAnsi="Times New Roman" w:eastAsia="Times New Roman"/>
          <w:b w:val="0"/>
          <w:i w:val="0"/>
          <w:sz w:val="18"/>
        </w:rPr>
        <w:t>60.</w:t>
        <w:tab/>
        <w:t>Mahajan C, Mishra RK, Jena BR, et al. Effect of magnesium and lignocaine on post-craniotomy pain: a comparative, randomized, double blind, placebo-controlled study. Saudi J Anaesth. 2019;13:299-305. DOI: 10.4103/sja.sja_837_18</w:t>
      </w:r>
    </w:p>
    <w:p>
      <w:pPr>
        <w:spacing w:after="40"/>
        <w:ind w:left="576" w:hanging="576"/>
      </w:pPr>
      <w:r>
        <w:rPr>
          <w:rFonts w:ascii="Times New Roman" w:hAnsi="Times New Roman" w:eastAsia="Times New Roman"/>
          <w:b w:val="0"/>
          <w:i w:val="0"/>
          <w:sz w:val="18"/>
        </w:rPr>
        <w:t>61.</w:t>
        <w:tab/>
        <w:t>Jitsinthunun T, Raksakietisak M, Pantubtim C, et al. Effects of magnesium sulfate on intraoperative blood loss and anesthetic requirement in meningioma patients undergoing craniotomy with tumor removal: a prospective randomized study. J Neuroanaesth Crit Care. 2022;9:168-176. DOI: 10.1055/s-0042-1750692</w:t>
      </w:r>
    </w:p>
    <w:p>
      <w:pPr>
        <w:spacing w:after="40"/>
        <w:ind w:left="576" w:hanging="576"/>
      </w:pPr>
      <w:r>
        <w:rPr>
          <w:rFonts w:ascii="Times New Roman" w:hAnsi="Times New Roman" w:eastAsia="Times New Roman"/>
          <w:b w:val="0"/>
          <w:i w:val="0"/>
          <w:sz w:val="18"/>
        </w:rPr>
        <w:t>62.</w:t>
        <w:tab/>
        <w:t>Wu Z, Sun X, Wu Y, et al. Curve fitting algorithm-based contrast-enhanced ultrasound image for evaluating the effect of dexmedetomidine on neurological function in patients undergoing brain tumor surgery. Sci Program. 2022;2022:7717075. DOI: 10.1155/2022/7717075</w:t>
      </w:r>
    </w:p>
    <w:p>
      <w:pPr>
        <w:spacing w:after="40"/>
        <w:ind w:left="576" w:hanging="576"/>
      </w:pPr>
      <w:r>
        <w:rPr>
          <w:rFonts w:ascii="Times New Roman" w:hAnsi="Times New Roman" w:eastAsia="Times New Roman"/>
          <w:b w:val="0"/>
          <w:i w:val="0"/>
          <w:sz w:val="18"/>
        </w:rPr>
        <w:t>63.</w:t>
        <w:tab/>
        <w:t>Zhao K, Dong Y, Su G, et al. Effect of systemic lidocaine on postoperative early recovery quality in patients undergoing supratentorial tumor resection. Drug Des Devel Ther. 2022;16:1171-1181. DOI: 10.2147/dddt.s359755</w:t>
      </w:r>
    </w:p>
    <w:p>
      <w:pPr>
        <w:spacing w:after="40"/>
        <w:ind w:left="576" w:hanging="576"/>
      </w:pPr>
      <w:r>
        <w:rPr>
          <w:rFonts w:ascii="Times New Roman" w:hAnsi="Times New Roman" w:eastAsia="Times New Roman"/>
          <w:b w:val="0"/>
          <w:i w:val="0"/>
          <w:sz w:val="18"/>
        </w:rPr>
        <w:t>64.</w:t>
        <w:tab/>
        <w:t>Jiang Z, Wu Y, Liang F, et al. Brain relaxation using desflurane anesthesia and total intravenous anesthesia in patients undergoing craniotomy for supratentorial tumors: a randomized controlled study. BMC Anesthesiol. 2023;23:15. DOI: 10.1186/s12871-023-01970-z</w:t>
      </w:r>
    </w:p>
    <w:p>
      <w:pPr>
        <w:spacing w:after="40"/>
        <w:ind w:left="576" w:hanging="576"/>
      </w:pPr>
      <w:r>
        <w:rPr>
          <w:rFonts w:ascii="Times New Roman" w:hAnsi="Times New Roman" w:eastAsia="Times New Roman"/>
          <w:b w:val="0"/>
          <w:i w:val="0"/>
          <w:sz w:val="18"/>
        </w:rPr>
        <w:t>65.</w:t>
        <w:tab/>
        <w:t>Sriganesh K, Singh G, Bidkar PU, et al. Non-opioid versus Opioid Peri-operative Analgesia In Neurosurgery (NOPAIN): study protocol for a multi-centric randomised controlled trial. Indian J Anaesth. 2023;67:920-926. DOI: 10.4103/ija.ija_610_23</w:t>
      </w:r>
    </w:p>
    <w:p>
      <w:pPr>
        <w:spacing w:after="40"/>
        <w:ind w:left="576" w:hanging="576"/>
      </w:pPr>
      <w:r>
        <w:rPr>
          <w:rFonts w:ascii="Times New Roman" w:hAnsi="Times New Roman" w:eastAsia="Times New Roman"/>
          <w:b w:val="0"/>
          <w:i w:val="0"/>
          <w:sz w:val="18"/>
        </w:rPr>
        <w:t>66.</w:t>
        <w:tab/>
        <w:t>Li S, Li R, Li M, et al. Dexmedetomidine administration during brain tumour resection for prevention of postoperative delirium: a randomised trial. Br J Anaesth. 2023;130:e307-e316. DOI: 10.1016/j.bja.2022.10.041</w:t>
      </w:r>
    </w:p>
    <w:p>
      <w:pPr>
        <w:spacing w:after="40"/>
        <w:ind w:left="576" w:hanging="576"/>
      </w:pPr>
      <w:r>
        <w:rPr>
          <w:rFonts w:ascii="Times New Roman" w:hAnsi="Times New Roman" w:eastAsia="Times New Roman"/>
          <w:b w:val="0"/>
          <w:i w:val="0"/>
          <w:sz w:val="18"/>
        </w:rPr>
        <w:t>67.</w:t>
        <w:tab/>
        <w:t>Yuan Y, Gu Q, Zhu M, et al. Reducing postoperative delirium in brain tumor patients through frailty-originated early rehabilitation: findings from a prospective randomized study. Asia Pac J Oncol Nurs. 2023;10:100263. DOI: 10.1016/j.apjon.2023.100263</w:t>
      </w:r>
    </w:p>
    <w:p>
      <w:pPr>
        <w:spacing w:after="40"/>
        <w:ind w:left="576" w:hanging="576"/>
      </w:pPr>
      <w:r>
        <w:rPr>
          <w:rFonts w:ascii="Times New Roman" w:hAnsi="Times New Roman" w:eastAsia="Times New Roman"/>
          <w:b w:val="0"/>
          <w:i w:val="0"/>
          <w:sz w:val="18"/>
        </w:rPr>
        <w:t>68.</w:t>
        <w:tab/>
        <w:t>Gracia I, Fàbregas N, Hurtado P, et al. Effect of perioperative magnesium sulfate on neurological outcome in neurosurgical patients: a randomized double-blind controlled trial. Minerva Anestesiol. 2025;91:45-57. DOI: 10.23736/s0375-9393.24.18401-5</w:t>
      </w:r>
    </w:p>
    <w:p>
      <w:pPr>
        <w:spacing w:after="40"/>
        <w:ind w:left="576" w:hanging="576"/>
      </w:pPr>
      <w:r>
        <w:rPr>
          <w:rFonts w:ascii="Times New Roman" w:hAnsi="Times New Roman" w:eastAsia="Times New Roman"/>
          <w:b w:val="0"/>
          <w:i w:val="0"/>
          <w:sz w:val="18"/>
        </w:rPr>
        <w:t>69.</w:t>
        <w:tab/>
        <w:t>Ravindranath S, Hrishi AP, Praveen R, et al. The effect of total intravenous anesthesia and inhalational anesthesia on the markers of neuronal and systemic inflammation in patients undergoing resection of supratentorial gliomas (TINSI trial): study protocol for a randomized controlled trial. Neurol India. 2025;73:764-769. DOI: 10.4103/neurol-india.neurol-india-d-24-00488</w:t>
      </w:r>
    </w:p>
    <w:p>
      <w:pPr>
        <w:spacing w:after="40"/>
        <w:ind w:left="576" w:hanging="576"/>
      </w:pPr>
      <w:r>
        <w:rPr>
          <w:rFonts w:ascii="Times New Roman" w:hAnsi="Times New Roman" w:eastAsia="Times New Roman"/>
          <w:b w:val="0"/>
          <w:i w:val="0"/>
          <w:sz w:val="18"/>
        </w:rPr>
        <w:t>70.</w:t>
        <w:tab/>
        <w:t>Tan C, Li M. Effects of ciprofol on hemodynamics and cerebral protection in patients undergoing meningioma resection. Medicine (Baltimore). 2025;104:e43386. DOI: 10.1097/md.0000000000043386</w:t>
      </w:r>
    </w:p>
    <w:sectPr w:rsidR="00FC693F" w:rsidRPr="0006063C" w:rsidSect="00034616">
      <w:footerReference w:type="default" r:id="rI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imes New Roman" w:hAnsi="Times New Roman" w:eastAsia="Times New Roma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imes New Roman" w:hAnsi="Times New Roman" w:eastAsia="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Digital Content 6</dc:title>
  <dc:subject/>
  <dc:creator/>
  <cp:keywords/>
  <dc:description/>
  <cp:lastModifiedBy/>
  <cp:revision>1</cp:revision>
  <dcterms:created xsi:type="dcterms:W3CDTF">2013-12-23T23:15:00Z</dcterms:created>
  <dcterms:modified xsi:type="dcterms:W3CDTF">2013-12-23T23:15:00Z</dcterms:modified>
  <cp:category/>
</cp:coreProperties>
</file>