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 xml:space="preserve">Table 1. </w:t>
      </w:r>
      <w:r>
        <w:rPr>
          <w:rFonts w:ascii="Times New Roman" w:hAnsi="Times New Roman" w:eastAsia="Times New Roman"/>
          <w:b w:val="0"/>
          <w:i w:val="0"/>
          <w:sz w:val="24"/>
        </w:rPr>
        <w:t>Candidate domains of tumor-associated brain frailty, instruments identified in the core evidence base, and remaining gaps.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nil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272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Domain</w:t>
            </w:r>
          </w:p>
        </w:tc>
        <w:tc>
          <w:tcPr>
            <w:tcW w:type="dxa" w:w="967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Studies with data (n)</w:t>
            </w:r>
          </w:p>
        </w:tc>
        <w:tc>
          <w:tcPr>
            <w:tcW w:type="dxa" w:w="3052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Instruments or measures identified</w:t>
            </w:r>
          </w:p>
        </w:tc>
        <w:tc>
          <w:tcPr>
            <w:tcW w:type="dxa" w:w="2035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Direction of the evidence</w:t>
            </w:r>
          </w:p>
        </w:tc>
        <w:tc>
          <w:tcPr>
            <w:tcW w:type="dxa" w:w="2035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Main limitation</w:t>
            </w:r>
          </w:p>
        </w:tc>
      </w:tr>
      <w:tr>
        <w:trPr>
          <w:cantSplit w:val="true"/>
        </w:trPr>
        <w:tc>
          <w:tcPr>
            <w:tcW w:type="dxa" w:w="127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Systemic frailty</w:t>
            </w:r>
          </w:p>
        </w:tc>
        <w:tc>
          <w:tcPr>
            <w:tcW w:type="dxa" w:w="9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305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mFI-5 (3)</w:t>
            </w:r>
            <w:r>
              <w:rPr>
                <w:rFonts w:ascii="Times New Roman" w:hAnsi="Times New Roman"/>
                <w:vertAlign w:val="superscript"/>
                <w:sz w:val="20"/>
              </w:rPr>
              <w:t>34-36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mFI-11 (1)</w:t>
            </w:r>
            <w:r>
              <w:rPr>
                <w:rFonts w:ascii="Times New Roman" w:hAnsi="Times New Roman"/>
                <w:vertAlign w:val="superscript"/>
                <w:sz w:val="20"/>
              </w:rPr>
              <w:t>37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Hopkins Frailty Score (1)</w:t>
            </w:r>
            <w:r>
              <w:rPr>
                <w:rFonts w:ascii="Times New Roman" w:hAnsi="Times New Roman"/>
                <w:vertAlign w:val="superscript"/>
                <w:sz w:val="20"/>
              </w:rPr>
              <w:t>38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Risk Analysis Index (1)</w:t>
            </w:r>
            <w:r>
              <w:rPr>
                <w:rFonts w:ascii="Times New Roman" w:hAnsi="Times New Roman"/>
                <w:vertAlign w:val="superscript"/>
                <w:sz w:val="20"/>
              </w:rPr>
              <w:t>36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Fried phenotype (1)</w:t>
            </w:r>
            <w:r>
              <w:rPr>
                <w:rFonts w:ascii="Times New Roman" w:hAnsi="Times New Roman"/>
                <w:vertAlign w:val="superscript"/>
                <w:sz w:val="20"/>
              </w:rPr>
              <w:t>39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comorbidity count (1)</w:t>
            </w:r>
            <w:r>
              <w:rPr>
                <w:rFonts w:ascii="Times New Roman" w:hAnsi="Times New Roman"/>
                <w:vertAlign w:val="superscript"/>
                <w:sz w:val="20"/>
              </w:rPr>
              <w:t>40</w:t>
            </w:r>
          </w:p>
        </w:tc>
        <w:tc>
          <w:tcPr>
            <w:tcW w:type="dxa" w:w="203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Higher frailty linked to worse outcome or improved by rehabilitation in 7 of 7</w:t>
            </w:r>
          </w:p>
        </w:tc>
        <w:tc>
          <w:tcPr>
            <w:tcW w:type="dxa" w:w="203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General-surgery indices, no brain-specific item, thresholds differ, no glioma-only or meningioma-only sample</w:t>
            </w:r>
          </w:p>
        </w:tc>
      </w:tr>
      <w:tr>
        <w:trPr>
          <w:cantSplit w:val="true"/>
        </w:trPr>
        <w:tc>
          <w:tcPr>
            <w:tcW w:type="dxa" w:w="127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Cognitive</w:t>
            </w:r>
          </w:p>
        </w:tc>
        <w:tc>
          <w:tcPr>
            <w:tcW w:type="dxa" w:w="9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 (plus 1 protocol)</w:t>
            </w:r>
          </w:p>
        </w:tc>
        <w:tc>
          <w:tcPr>
            <w:tcW w:type="dxa" w:w="305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Multidomain batteries (14), domain-specific tests (4), brief screeners (7), computerized batteries (4), patient-reported scale (1). MMSE in 5, MoCA in 2 with data, no MoCA-INA</w:t>
            </w:r>
          </w:p>
        </w:tc>
        <w:tc>
          <w:tcPr>
            <w:tcW w:type="dxa" w:w="203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Impaired before surgery in 8 of 8 studies that tested it. After surgery, among 18 cohorts, improved 6, no change 3, decline 3, transient decline 3, others 3</w:t>
            </w:r>
          </w:p>
        </w:tc>
        <w:tc>
          <w:tcPr>
            <w:tcW w:type="dxa" w:w="203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 shared tool or time point, early decline in glioma cohorts, improvement in meningioma cohorts, MMSE-J missed deficits in one study</w:t>
            </w:r>
          </w:p>
        </w:tc>
      </w:tr>
      <w:tr>
        <w:trPr>
          <w:cantSplit w:val="true"/>
        </w:trPr>
        <w:tc>
          <w:tcPr>
            <w:tcW w:type="dxa" w:w="127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Neurological</w:t>
            </w:r>
          </w:p>
        </w:tc>
        <w:tc>
          <w:tcPr>
            <w:tcW w:type="dxa" w:w="9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305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Binary new deficit (8), Barthel index (5), GOS or GOSE (3), KPS (2), mRS (3), GCS (2), NIHSS (1), House-Brackmann (1), intraoperative MEP (2). No NANO</w:t>
            </w:r>
          </w:p>
        </w:tc>
        <w:tc>
          <w:tcPr>
            <w:tcW w:type="dxa" w:w="203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Deficit rates 6.7% to 50% depending on definition</w:t>
            </w:r>
          </w:p>
        </w:tc>
        <w:tc>
          <w:tcPr>
            <w:tcW w:type="dxa" w:w="203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Nine instruments or definitions, none designed for neuro-oncology</w:t>
            </w:r>
          </w:p>
        </w:tc>
      </w:tr>
      <w:tr>
        <w:trPr>
          <w:cantSplit w:val="true"/>
        </w:trPr>
        <w:tc>
          <w:tcPr>
            <w:tcW w:type="dxa" w:w="127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Imaging</w:t>
            </w:r>
          </w:p>
        </w:tc>
        <w:tc>
          <w:tcPr>
            <w:tcW w:type="dxa" w:w="96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32</w:t>
            </w:r>
          </w:p>
        </w:tc>
        <w:tc>
          <w:tcPr>
            <w:tcW w:type="dxa" w:w="305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DWI for ischemic lesions (6), volumetric MRI (13), perfusion or permeability (4), functional connectivity (7), CT findings (7), contrast-enhanced ultrasound (1)</w:t>
            </w:r>
          </w:p>
        </w:tc>
        <w:tc>
          <w:tcPr>
            <w:tcW w:type="dxa" w:w="203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New DWI lesions after 18.8% to 45.7% of resections</w:t>
            </w:r>
          </w:p>
        </w:tc>
        <w:tc>
          <w:tcPr>
            <w:tcW w:type="dxa" w:w="203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Imaging describes tumor or injury, no brain frailty score, no CT-based or muscle-based metric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 w:val="0"/>
          <w:i w:val="0"/>
          <w:sz w:val="20"/>
        </w:rPr>
        <w:t>Counts are studies, and a study can contribute to more than one row. CT, computed tomography. DWI, diffusion-weighted imaging. GCS, Glasgow Coma Scale. GOS, Glasgow Outcome Scale. GOSE, extended Glasgow Outcome Scale. KPS, Karnofsky Performance Status. mFI-5, five-factor modified frailty index. mFI-11, eleven-item modified frailty index. MEP, motor evoked potential. MMSE, Mini-Mental State Examination. MoCA, Montreal Cognitive Assessment. MoCA-INA, Indonesian version of the MoCA. mRS, modified Rankin Scale. NANO, Neurologic Assessment in Neuro-Oncology. NIHSS, National Institutes of Health Stroke Scale.</w:t>
      </w:r>
    </w:p>
    <w:p>
      <w:pPr>
        <w:keepNext/>
        <w:pageBreakBefore/>
        <w:spacing w:after="120"/>
      </w:pPr>
      <w:r>
        <w:rPr>
          <w:rFonts w:ascii="Times New Roman" w:hAnsi="Times New Roman" w:eastAsia="Times New Roman"/>
          <w:b/>
          <w:i w:val="0"/>
          <w:sz w:val="24"/>
        </w:rPr>
        <w:t xml:space="preserve">Table 2. </w:t>
      </w:r>
      <w:r>
        <w:rPr>
          <w:rFonts w:ascii="Times New Roman" w:hAnsi="Times New Roman" w:eastAsia="Times New Roman"/>
          <w:b w:val="0"/>
          <w:i w:val="0"/>
          <w:sz w:val="24"/>
        </w:rPr>
        <w:t>Answers to the seven review questions and the status of the mapped evidence.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single" w:sz="4" w:space="0" w:color="000000"/>
          <w:insideV w:val="nil"/>
        </w:tblBorders>
        <w:tblCellMar>
          <w:top w:w="40" w:type="dxa"/>
          <w:left w:w="70" w:type="dxa"/>
          <w:bottom w:w="40" w:type="dxa"/>
          <w:right w:w="7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188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Question</w:t>
            </w:r>
          </w:p>
        </w:tc>
        <w:tc>
          <w:tcPr>
            <w:tcW w:type="dxa" w:w="4376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Answer from the mapped evidence</w:t>
            </w:r>
          </w:p>
        </w:tc>
        <w:tc>
          <w:tcPr>
            <w:tcW w:type="dxa" w:w="1459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Basis</w:t>
            </w:r>
          </w:p>
        </w:tc>
        <w:tc>
          <w:tcPr>
            <w:tcW w:type="dxa" w:w="1337"/>
            <w:tcBorders>
              <w:bottom w:val="single" w:sz="8" w:space="0" w:color="000000"/>
            </w:tcBorders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218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RQ1. How is frailty or brain frailty defined and measured?</w:t>
            </w:r>
          </w:p>
        </w:tc>
        <w:tc>
          <w:tcPr>
            <w:tcW w:type="dxa" w:w="437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 brain-specific definition. Frailty is borrowed through seven general indices, in mixed tumor samples, with differing thresholds</w:t>
            </w:r>
          </w:p>
        </w:tc>
        <w:tc>
          <w:tcPr>
            <w:tcW w:type="dxa" w:w="145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 core studies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Answered, and the answer is a gap</w:t>
            </w:r>
          </w:p>
        </w:tc>
      </w:tr>
      <w:tr>
        <w:trPr>
          <w:cantSplit w:val="true"/>
        </w:trPr>
        <w:tc>
          <w:tcPr>
            <w:tcW w:type="dxa" w:w="218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RQ2. Which domains and instruments characterize it?</w:t>
            </w:r>
          </w:p>
        </w:tc>
        <w:tc>
          <w:tcPr>
            <w:tcW w:type="dxa" w:w="437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Four domains map onto existing studies (systemic, cognitive, neurological, imaging). Each has several instruments and no shared standard</w:t>
            </w:r>
          </w:p>
        </w:tc>
        <w:tc>
          <w:tcPr>
            <w:tcW w:type="dxa" w:w="145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7, 30, 16, and 32 core studies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Answered descriptively</w:t>
            </w:r>
          </w:p>
        </w:tc>
      </w:tr>
      <w:tr>
        <w:trPr>
          <w:cantSplit w:val="true"/>
        </w:trPr>
        <w:tc>
          <w:tcPr>
            <w:tcW w:type="dxa" w:w="218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RQ3. Is neuroinflammation present in benign as well as malignant tumors?</w:t>
            </w:r>
          </w:p>
        </w:tc>
        <w:tc>
          <w:tcPr>
            <w:tcW w:type="dxa" w:w="437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Documented in glioma tissue, cerebrospinal fluid, and microdialysate. Benign tumor evidence rests on external reviews, and meningioma-only studies show injury and vulnerability but no cytokines</w:t>
            </w:r>
          </w:p>
        </w:tc>
        <w:tc>
          <w:tcPr>
            <w:tcW w:type="dxa" w:w="145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 glioma or mixed studies, 0 meningioma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Partly answered</w:t>
            </w:r>
          </w:p>
        </w:tc>
      </w:tr>
      <w:tr>
        <w:trPr>
          <w:cantSplit w:val="true"/>
        </w:trPr>
        <w:tc>
          <w:tcPr>
            <w:tcW w:type="dxa" w:w="218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RQ4. Which biomarkers can detect neuroinflammation and injury?</w:t>
            </w:r>
          </w:p>
        </w:tc>
        <w:tc>
          <w:tcPr>
            <w:tcW w:type="dxa" w:w="437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S100B, NSE, GFAP, tau, and NfL track injury. Cytokines require tissue, cerebrospinal fluid, or microdialysis. No validated neuroinflammation panel</w:t>
            </w:r>
          </w:p>
        </w:tc>
        <w:tc>
          <w:tcPr>
            <w:tcW w:type="dxa" w:w="145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 injury and 7 inflammatory studies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Partly answered</w:t>
            </w:r>
          </w:p>
        </w:tc>
      </w:tr>
      <w:tr>
        <w:trPr>
          <w:cantSplit w:val="true"/>
        </w:trPr>
        <w:tc>
          <w:tcPr>
            <w:tcW w:type="dxa" w:w="218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RQ5. What supports perioperative brain injury as a second hit?</w:t>
            </w:r>
          </w:p>
        </w:tc>
        <w:tc>
          <w:tcPr>
            <w:tcW w:type="dxa" w:w="437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New DWI lesions after 18.8% to 45.7% of resections, marker rise in 4 of 4 studies, delirium in 4.2% to 35%. Interaction with preoperative state untested</w:t>
            </w:r>
          </w:p>
        </w:tc>
        <w:tc>
          <w:tcPr>
            <w:tcW w:type="dxa" w:w="145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Supplemental Digital Content 10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Partly answered</w:t>
            </w:r>
          </w:p>
        </w:tc>
      </w:tr>
      <w:tr>
        <w:trPr>
          <w:cantSplit w:val="true"/>
        </w:trPr>
        <w:tc>
          <w:tcPr>
            <w:tcW w:type="dxa" w:w="218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RQ6. Which instruments exist, including MoCA-INA and NANO-Ina?</w:t>
            </w:r>
          </w:p>
        </w:tc>
        <w:tc>
          <w:tcPr>
            <w:tcW w:type="dxa" w:w="437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None of the core studies used either. Six instrument-focused studies document both, without perioperative testing</w:t>
            </w:r>
          </w:p>
        </w:tc>
        <w:tc>
          <w:tcPr>
            <w:tcW w:type="dxa" w:w="145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 core, 6 instrument-focused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Answered, with a gap</w:t>
            </w:r>
          </w:p>
        </w:tc>
      </w:tr>
      <w:tr>
        <w:trPr>
          <w:cantSplit w:val="true"/>
        </w:trPr>
        <w:tc>
          <w:tcPr>
            <w:tcW w:type="dxa" w:w="218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RQ7. Where are the gaps?</w:t>
            </w:r>
          </w:p>
        </w:tc>
        <w:tc>
          <w:tcPr>
            <w:tcW w:type="dxa" w:w="437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 definition, no brain-specific index, no CT or muscle metric, no meningioma cytokine data, no interaction test, no perioperative validation of the Indonesian instruments</w:t>
            </w:r>
          </w:p>
        </w:tc>
        <w:tc>
          <w:tcPr>
            <w:tcW w:type="dxa" w:w="145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All of the above</w:t>
            </w:r>
          </w:p>
        </w:tc>
        <w:tc>
          <w:tcPr>
            <w:tcW w:type="dxa" w:w="133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Answered</w:t>
            </w:r>
          </w:p>
        </w:tc>
      </w:tr>
    </w:tbl>
    <w:p>
      <w:pPr>
        <w:spacing w:before="120"/>
      </w:pPr>
      <w:r>
        <w:rPr>
          <w:rFonts w:ascii="Times New Roman" w:hAnsi="Times New Roman" w:eastAsia="Times New Roman"/>
          <w:b w:val="0"/>
          <w:i w:val="0"/>
          <w:sz w:val="20"/>
        </w:rPr>
        <w:t>Status describes how fully the mapped evidence answers the question. Partly answered and gap findings are reported as results of a scoping review. DWI, diffusion-weighted imaging. GFAP, glial fibrillary acidic protein. MoCA-INA, Indonesian version of the Montreal Cognitive Assessment. NANO-Ina, Indonesian version of the Neurologic Assessment in Neuro-Oncology scale. NfL, neurofilament light chain. NSE, neuron-specific enolase. RQ, review question.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="Times New Roman" w:hAnsi="Times New Roman" w:eastAsia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="Times New Roman" w:hAnsi="Times New Roman" w:eastAsia="Times New Roman"/>
      <w:b/>
      <w:bCs/>
      <w:i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