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media/image6.wmf" ContentType="image/x-wmf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cs="Times New Roman" w:ascii="Times New Roman" w:hAnsi="Times New Roman"/>
          <w:b/>
          <w:sz w:val="36"/>
          <w:lang w:val="ru-RU"/>
        </w:rPr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cs="Times New Roman" w:ascii="Times New Roman" w:hAnsi="Times New Roman"/>
          <w:b/>
          <w:sz w:val="36"/>
          <w:lang w:val="ru-RU"/>
        </w:rPr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cs="Times New Roman" w:ascii="Times New Roman" w:hAnsi="Times New Roman"/>
          <w:b/>
          <w:sz w:val="36"/>
          <w:lang w:val="ru-RU"/>
        </w:rPr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cs="Times New Roman" w:ascii="Times New Roman" w:hAnsi="Times New Roman"/>
          <w:b/>
          <w:sz w:val="36"/>
          <w:lang w:val="ru-RU"/>
        </w:rPr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cs="Times New Roman" w:ascii="Times New Roman" w:hAnsi="Times New Roman"/>
          <w:b/>
          <w:sz w:val="36"/>
          <w:lang w:val="ru-RU"/>
        </w:rPr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cs="Times New Roman" w:ascii="Times New Roman" w:hAnsi="Times New Roman"/>
          <w:b/>
          <w:sz w:val="36"/>
          <w:lang w:val="ru-RU"/>
        </w:rPr>
        <w:t>Приложение 2</w:t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cs="Times New Roman" w:ascii="Times New Roman" w:hAnsi="Times New Roman"/>
          <w:b/>
          <w:sz w:val="36"/>
          <w:lang w:val="ru-RU"/>
        </w:rPr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cs="Times New Roman" w:ascii="Times New Roman" w:hAnsi="Times New Roman"/>
          <w:b/>
          <w:sz w:val="36"/>
          <w:lang w:val="ru-RU"/>
        </w:rPr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cs="Times New Roman" w:ascii="Times New Roman" w:hAnsi="Times New Roman"/>
          <w:b/>
          <w:sz w:val="36"/>
          <w:lang w:val="ru-RU"/>
        </w:rPr>
        <w:t>Комплект учебно-методических материалов</w:t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cs="Times New Roman" w:ascii="Times New Roman" w:hAnsi="Times New Roman"/>
          <w:b/>
          <w:sz w:val="36"/>
          <w:lang w:val="ru-RU"/>
        </w:rPr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cs="Times New Roman" w:ascii="Times New Roman" w:hAnsi="Times New Roman"/>
          <w:b/>
          <w:sz w:val="36"/>
          <w:lang w:val="ru-RU"/>
        </w:rPr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cs="Times New Roman" w:ascii="Times New Roman" w:hAnsi="Times New Roman"/>
          <w:b/>
          <w:sz w:val="36"/>
          <w:lang w:val="ru-RU"/>
        </w:rPr>
      </w:r>
    </w:p>
    <w:p>
      <w:pPr>
        <w:sectPr>
          <w:type w:val="nextPage"/>
          <w:pgSz w:w="11906" w:h="16838"/>
          <w:pgMar w:left="1418" w:right="1134" w:gutter="0" w:header="0" w:top="1134" w:footer="0" w:bottom="1418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5"/>
        <w:numPr>
          <w:ilvl w:val="0"/>
          <w:numId w:val="0"/>
        </w:numPr>
        <w:rPr>
          <w:rFonts w:ascii="Times New Roman" w:hAnsi="Times New Roman" w:cs="Times New Roman"/>
          <w:b/>
          <w:sz w:val="36"/>
          <w:lang w:val="ru-RU"/>
        </w:rPr>
      </w:pPr>
      <w:r>
        <w:rPr>
          <w:rFonts w:cs="Times New Roman" w:ascii="Times New Roman" w:hAnsi="Times New Roman"/>
          <w:b/>
          <w:sz w:val="36"/>
          <w:lang w:val="ru-RU"/>
        </w:rPr>
      </w:r>
    </w:p>
    <w:p>
      <w:pPr>
        <w:sectPr>
          <w:type w:val="continuous"/>
          <w:pgSz w:w="11906" w:h="16838"/>
          <w:pgMar w:left="1418" w:right="1134" w:gutter="0" w:header="0" w:top="1134" w:footer="0" w:bottom="1418"/>
          <w:formProt w:val="false"/>
          <w:textDirection w:val="lrTb"/>
          <w:docGrid w:type="default" w:linePitch="360" w:charSpace="0"/>
        </w:sectPr>
      </w:pP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cs="Times New Roman" w:ascii="Times New Roman" w:hAnsi="Times New Roman"/>
          <w:b/>
          <w:sz w:val="28"/>
          <w:lang w:val="ru-RU"/>
        </w:rPr>
        <w:t>Приложение 2</w:t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cs="Times New Roman" w:ascii="Times New Roman" w:hAnsi="Times New Roman"/>
          <w:b/>
          <w:sz w:val="28"/>
          <w:lang w:val="ru-RU"/>
        </w:rPr>
        <w:t>Комплект учебно-методических материалов</w:t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cs="Times New Roman" w:ascii="Times New Roman" w:hAnsi="Times New Roman"/>
          <w:b/>
          <w:sz w:val="36"/>
          <w:lang w:val="ru-RU"/>
        </w:rPr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cs="Times New Roman" w:ascii="Times New Roman" w:hAnsi="Times New Roman"/>
          <w:b/>
          <w:sz w:val="36"/>
          <w:lang w:val="ru-RU"/>
        </w:rPr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cs="Times New Roman" w:ascii="Times New Roman" w:hAnsi="Times New Roman"/>
          <w:b/>
          <w:sz w:val="36"/>
          <w:lang w:val="ru-RU"/>
        </w:rPr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cs="Times New Roman" w:ascii="Times New Roman" w:hAnsi="Times New Roman"/>
          <w:b/>
          <w:sz w:val="36"/>
          <w:lang w:val="ru-RU"/>
        </w:rPr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32"/>
          <w:lang w:val="ru-RU"/>
        </w:rPr>
      </w:pPr>
      <w:r>
        <w:rPr>
          <w:rFonts w:cs="Times New Roman" w:ascii="Times New Roman" w:hAnsi="Times New Roman"/>
          <w:b/>
          <w:sz w:val="32"/>
          <w:lang w:val="ru-RU"/>
        </w:rPr>
        <w:t>Задачи для самостоятельного решения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797" w:right="1134" w:gutter="0" w:header="720" w:top="1440" w:footer="720" w:bottom="1758"/>
          <w:pgNumType w:start="1" w:fmt="decimal"/>
          <w:formProt w:val="false"/>
          <w:textDirection w:val="lrTb"/>
          <w:docGrid w:type="default" w:linePitch="360" w:charSpace="0"/>
        </w:sectPr>
      </w:pPr>
    </w:p>
    <w:p>
      <w:pPr>
        <w:pStyle w:val="Iauiue"/>
        <w:numPr>
          <w:ilvl w:val="0"/>
          <w:numId w:val="0"/>
        </w:numPr>
        <w:rPr>
          <w:rFonts w:ascii="Times New Roman" w:hAnsi="Times New Roman" w:cs="Times New Roman"/>
          <w:b/>
          <w:sz w:val="24"/>
          <w:lang w:val="ru-RU"/>
        </w:rPr>
      </w:pPr>
      <w:r>
        <w:rPr>
          <w:rFonts w:cs="Times New Roman"/>
          <w:b/>
          <w:sz w:val="24"/>
          <w:lang w:val="ru-RU"/>
        </w:rPr>
      </w:r>
    </w:p>
    <w:p>
      <w:pPr>
        <w:sectPr>
          <w:type w:val="continuous"/>
          <w:pgSz w:w="11906" w:h="16838"/>
          <w:pgMar w:left="1797" w:right="1134" w:gutter="0" w:header="720" w:top="1440" w:footer="720" w:bottom="1758"/>
          <w:formProt w:val="false"/>
          <w:textDirection w:val="lrTb"/>
          <w:docGrid w:type="default" w:linePitch="360" w:charSpace="0"/>
        </w:sectPr>
      </w:pP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 w:before="120" w:after="0"/>
        <w:jc w:val="both"/>
        <w:rPr>
          <w:sz w:val="28"/>
        </w:rPr>
      </w:pPr>
      <w:r>
        <w:rPr>
          <w:sz w:val="28"/>
        </w:rPr>
        <w:t xml:space="preserve">При условии, что </w:t>
      </w:r>
      <w:r>
        <w:rPr>
          <w:sz w:val="28"/>
          <w:lang w:val="en-GB"/>
        </w:rPr>
        <w:t xml:space="preserve">δ = 0,1 , </w:t>
      </w:r>
      <w:r>
        <w:rPr>
          <w:sz w:val="28"/>
        </w:rPr>
        <w:t xml:space="preserve">найти значения эквивалентных процентных ставок: </w:t>
      </w:r>
    </w:p>
    <w:p>
      <w:pPr>
        <w:pStyle w:val="Iauiue"/>
        <w:spacing w:lineRule="auto" w:line="360"/>
        <w:ind w:firstLine="567" w:end="0"/>
        <w:jc w:val="center"/>
        <w:rPr/>
      </w:pPr>
      <w:r>
        <w:rPr>
          <w:sz w:val="28"/>
        </w:rPr>
        <w:t xml:space="preserve">а) </w:t>
      </w:r>
      <w:r>
        <w:rPr>
          <w:i/>
          <w:sz w:val="28"/>
          <w:lang w:val="en-US"/>
        </w:rPr>
        <w:t>i</w:t>
      </w:r>
      <w:r>
        <w:rPr>
          <w:sz w:val="28"/>
          <w:lang w:val="en-US"/>
        </w:rPr>
        <w:t xml:space="preserve">,  </w:t>
      </w:r>
      <w:r>
        <w:rPr>
          <w:i/>
          <w:sz w:val="28"/>
          <w:lang w:val="en-US"/>
        </w:rPr>
        <w:t>i</w:t>
      </w:r>
      <w:r>
        <w:rPr>
          <w:sz w:val="28"/>
          <w:lang w:val="en-US"/>
        </w:rPr>
        <w:t xml:space="preserve"> </w:t>
      </w:r>
      <w:r>
        <w:rPr>
          <w:sz w:val="28"/>
          <w:vertAlign w:val="superscript"/>
          <w:lang w:val="en-US"/>
        </w:rPr>
        <w:t>(4)</w:t>
      </w:r>
      <w:r>
        <w:rPr>
          <w:sz w:val="28"/>
          <w:lang w:val="en-US"/>
        </w:rPr>
        <w:t xml:space="preserve">,  </w:t>
      </w:r>
      <w:r>
        <w:rPr>
          <w:i/>
          <w:sz w:val="28"/>
          <w:lang w:val="en-US"/>
        </w:rPr>
        <w:t>i</w:t>
      </w:r>
      <w:r>
        <w:rPr>
          <w:sz w:val="28"/>
          <w:vertAlign w:val="superscript"/>
          <w:lang w:val="en-US"/>
        </w:rPr>
        <w:t>(12)</w:t>
      </w:r>
      <w:r>
        <w:rPr>
          <w:sz w:val="28"/>
          <w:lang w:val="en-US"/>
        </w:rPr>
        <w:t xml:space="preserve">,  </w:t>
      </w:r>
      <w:r>
        <w:rPr>
          <w:i/>
          <w:sz w:val="28"/>
          <w:lang w:val="en-US"/>
        </w:rPr>
        <w:t>i</w:t>
      </w:r>
      <w:r>
        <w:rPr>
          <w:sz w:val="28"/>
          <w:vertAlign w:val="superscript"/>
          <w:lang w:val="en-US"/>
        </w:rPr>
        <w:t>(52)</w:t>
      </w:r>
      <w:r>
        <w:rPr>
          <w:sz w:val="28"/>
          <w:lang w:val="en-US"/>
        </w:rPr>
        <w:t xml:space="preserve"> ,  </w:t>
      </w:r>
      <w:r>
        <w:rPr>
          <w:i/>
          <w:sz w:val="28"/>
          <w:lang w:val="en-US"/>
        </w:rPr>
        <w:t>i</w:t>
      </w:r>
      <w:r>
        <w:rPr>
          <w:sz w:val="28"/>
          <w:vertAlign w:val="superscript"/>
          <w:lang w:val="en-US"/>
        </w:rPr>
        <w:t>(365)</w:t>
      </w:r>
      <w:r>
        <w:rPr>
          <w:sz w:val="28"/>
          <w:lang w:val="en-US"/>
        </w:rPr>
        <w:t xml:space="preserve"> ;</w:t>
      </w:r>
    </w:p>
    <w:p>
      <w:pPr>
        <w:pStyle w:val="Iauiue"/>
        <w:spacing w:lineRule="auto" w:line="360"/>
        <w:ind w:firstLine="567" w:end="0"/>
        <w:jc w:val="center"/>
        <w:rPr/>
      </w:pPr>
      <w:r>
        <w:rPr>
          <w:sz w:val="28"/>
        </w:rPr>
        <w:t xml:space="preserve">б) </w:t>
      </w:r>
      <w:r>
        <w:rPr>
          <w:i/>
          <w:sz w:val="28"/>
          <w:lang w:val="en-US"/>
        </w:rPr>
        <w:t>d</w:t>
      </w:r>
      <w:r>
        <w:rPr>
          <w:sz w:val="28"/>
          <w:lang w:val="en-US"/>
        </w:rPr>
        <w:t xml:space="preserve">,  </w:t>
      </w:r>
      <w:r>
        <w:rPr>
          <w:i/>
          <w:sz w:val="28"/>
          <w:lang w:val="en-US"/>
        </w:rPr>
        <w:t>d</w:t>
      </w:r>
      <w:r>
        <w:rPr>
          <w:sz w:val="28"/>
          <w:lang w:val="en-US"/>
        </w:rPr>
        <w:t xml:space="preserve"> </w:t>
      </w:r>
      <w:r>
        <w:rPr>
          <w:sz w:val="28"/>
          <w:vertAlign w:val="superscript"/>
          <w:lang w:val="en-US"/>
        </w:rPr>
        <w:t>(4)</w:t>
      </w:r>
      <w:r>
        <w:rPr>
          <w:sz w:val="28"/>
          <w:lang w:val="en-US"/>
        </w:rPr>
        <w:t xml:space="preserve">,  </w:t>
      </w:r>
      <w:r>
        <w:rPr>
          <w:i/>
          <w:sz w:val="28"/>
          <w:lang w:val="en-US"/>
        </w:rPr>
        <w:t>d</w:t>
      </w:r>
      <w:r>
        <w:rPr>
          <w:sz w:val="28"/>
          <w:vertAlign w:val="superscript"/>
          <w:lang w:val="en-US"/>
        </w:rPr>
        <w:t>(12)</w:t>
      </w:r>
      <w:r>
        <w:rPr>
          <w:sz w:val="28"/>
          <w:lang w:val="en-US"/>
        </w:rPr>
        <w:t xml:space="preserve">, </w:t>
      </w:r>
      <w:r>
        <w:rPr>
          <w:i/>
          <w:sz w:val="28"/>
          <w:lang w:val="en-US"/>
        </w:rPr>
        <w:t>d</w:t>
      </w:r>
      <w:r>
        <w:rPr>
          <w:sz w:val="28"/>
          <w:vertAlign w:val="superscript"/>
          <w:lang w:val="en-US"/>
        </w:rPr>
        <w:t>(52)</w:t>
      </w:r>
      <w:r>
        <w:rPr>
          <w:sz w:val="28"/>
          <w:lang w:val="en-US"/>
        </w:rPr>
        <w:t xml:space="preserve"> , </w:t>
      </w:r>
      <w:r>
        <w:rPr>
          <w:i/>
          <w:sz w:val="28"/>
          <w:lang w:val="en-US"/>
        </w:rPr>
        <w:t>d</w:t>
      </w:r>
      <w:r>
        <w:rPr>
          <w:sz w:val="28"/>
          <w:vertAlign w:val="superscript"/>
          <w:lang w:val="en-US"/>
        </w:rPr>
        <w:t>(365)</w:t>
      </w:r>
      <w:r>
        <w:rPr>
          <w:sz w:val="28"/>
          <w:lang w:val="en-US"/>
        </w:rPr>
        <w:t xml:space="preserve"> .</w:t>
      </w:r>
    </w:p>
    <w:p>
      <w:pPr>
        <w:pStyle w:val="Iauiue"/>
        <w:spacing w:lineRule="auto" w:line="360"/>
        <w:jc w:val="both"/>
        <w:rPr>
          <w:sz w:val="28"/>
        </w:rPr>
      </w:pPr>
      <w:r>
        <w:rPr>
          <w:sz w:val="28"/>
        </w:rPr>
        <w:t>Сделать вывод.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Предполагается, что интенсивность процентов является кусочно-непрерывной функцией времени:</w:t>
      </w:r>
    </w:p>
    <w:p>
      <w:pPr>
        <w:pStyle w:val="Iauiue"/>
        <w:spacing w:lineRule="auto" w:line="360"/>
        <w:jc w:val="center"/>
        <w:rPr/>
      </w:pPr>
      <w:r>
        <w:rPr>
          <w:sz w:val="28"/>
          <w:lang w:val="en-GB"/>
        </w:rPr>
        <w:object w:dxaOrig="2380" w:dyaOrig="1020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119pt;height:51pt" filled="f" o:ole="">
            <v:imagedata r:id="rId5" o:title=""/>
          </v:shape>
          <o:OLEObject Type="Embed" ProgID="" ShapeID="ole_rId4" DrawAspect="Content" ObjectID="_957170644" r:id="rId4"/>
        </w:object>
      </w:r>
      <w:r>
        <w:rPr>
          <w:sz w:val="28"/>
          <w:lang w:val="en-GB"/>
        </w:rPr>
        <w:t>.</w:t>
      </w:r>
    </w:p>
    <w:p>
      <w:pPr>
        <w:pStyle w:val="Iauiue"/>
        <w:spacing w:lineRule="auto" w:line="360"/>
        <w:jc w:val="both"/>
        <w:rPr>
          <w:sz w:val="28"/>
        </w:rPr>
      </w:pPr>
      <w:r>
        <w:rPr>
          <w:sz w:val="28"/>
        </w:rPr>
        <w:t xml:space="preserve">Найти дисконтный множитель </w:t>
      </w:r>
      <w:r>
        <w:rPr>
          <w:i/>
          <w:sz w:val="28"/>
          <w:lang w:val="en-GB"/>
        </w:rPr>
        <w:t>ν</w:t>
      </w:r>
      <w:r>
        <w:rPr>
          <w:sz w:val="28"/>
          <w:lang w:val="en-US"/>
        </w:rPr>
        <w:t>(</w:t>
      </w:r>
      <w:r>
        <w:rPr>
          <w:i/>
          <w:sz w:val="28"/>
          <w:lang w:val="en-US"/>
        </w:rPr>
        <w:t>t</w:t>
      </w:r>
      <w:r>
        <w:rPr>
          <w:sz w:val="28"/>
          <w:lang w:val="en-US"/>
        </w:rPr>
        <w:t>)</w:t>
      </w:r>
      <w:r>
        <w:rPr>
          <w:sz w:val="28"/>
          <w:lang w:val="en-GB"/>
        </w:rPr>
        <w:t xml:space="preserve"> </w:t>
      </w:r>
      <w:r>
        <w:rPr>
          <w:sz w:val="28"/>
        </w:rPr>
        <w:t xml:space="preserve">для всех </w:t>
      </w:r>
      <w:r>
        <w:rPr>
          <w:sz w:val="28"/>
          <w:lang w:val="en-GB"/>
        </w:rPr>
        <w:object w:dxaOrig="520" w:dyaOrig="300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26pt;height:15pt" filled="f" o:ole="">
            <v:imagedata r:id="rId7" o:title=""/>
          </v:shape>
          <o:OLEObject Type="Embed" ProgID="" ShapeID="ole_rId6" DrawAspect="Content" ObjectID="_1332407134" r:id="rId6"/>
        </w:object>
      </w:r>
      <w:r>
        <w:rPr>
          <w:sz w:val="28"/>
        </w:rPr>
        <w:t xml:space="preserve">. Определить современную величину 500 д.е., подлежащих выплате: </w:t>
      </w:r>
    </w:p>
    <w:p>
      <w:pPr>
        <w:pStyle w:val="Iauiue"/>
        <w:spacing w:lineRule="auto" w:line="360"/>
        <w:ind w:start="709" w:end="0"/>
        <w:jc w:val="both"/>
        <w:rPr/>
      </w:pPr>
      <w:r>
        <w:rPr>
          <w:sz w:val="28"/>
        </w:rPr>
        <w:t>а) через 3 года; б) через 10 лет.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ind w:start="709" w:end="0"/>
        <w:jc w:val="both"/>
        <w:rPr>
          <w:sz w:val="28"/>
        </w:rPr>
      </w:pPr>
      <w:r>
        <w:rPr>
          <w:sz w:val="28"/>
        </w:rPr>
        <w:t xml:space="preserve">Долг в размере 1000 д.е. должен быть погашен через 1,5 года. При выдаче кредита использовалась переменная годовая процентная ставка: в первые три месяца срока долга 8%, в следующие три месяца 8,5 %, затем полгода 9 % и последние полгода 10 %.  Какова сумма кредита?  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Необходимо учесть долговое обязательство на сумму 50 000 д.е. за 4 года до погашения. Банк для учета обязательств применяет сложную процентную ставку 5 – 7% годовых. Проценты могут  начисляться  1, 2 или 4 раза в год. Указать условия договора, по которому это обязательство может быть учтено.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При выдаче кредита на 200 дней под 10 % годовых кредитор удерживает комиссионные в размере 0,5% от суммы кредита. Ставка налога на проценты 10%. Какова доходность операции для кредитора?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 xml:space="preserve">Реструктуризация государственного долга была произведена следующим образом. Долг в сумме 1,4 млрд. д.е., который должен быть выплачен 1 января 1995 года, преобразован в облигации, выпущенные под гарантии правительства. По этим облигациям государство, начиная с 1 января 1995 года дважды в год выплачивает равные суммы до 2007 года. Для реструктуризации долга использовалась ставка (сложная) 3 % годовых. Какова сумма отдельного погасительного платежа </w:t>
      </w:r>
      <w:r>
        <w:rPr>
          <w:sz w:val="28"/>
          <w:lang w:val="en-US"/>
        </w:rPr>
        <w:t>?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Обязательство об уплате 8000 д.е. 01.03 и 12 000 д.е. 30.09 пересмотрено так, что первая выплата в сумме 6000 д.е. будет произведена 01.02, а остальная часть долга гасится 15.11. Для замены обязательства применялась сложная процентная ставка 6 % годовых. В финансовом году 365 дней.</w:t>
      </w:r>
    </w:p>
    <w:p>
      <w:pPr>
        <w:pStyle w:val="Iauiue"/>
        <w:tabs>
          <w:tab w:val="clear" w:pos="720"/>
          <w:tab w:val="left" w:pos="993" w:leader="none"/>
        </w:tabs>
        <w:spacing w:lineRule="auto" w:line="360"/>
        <w:ind w:firstLine="567" w:end="0"/>
        <w:jc w:val="both"/>
        <w:rPr>
          <w:sz w:val="28"/>
        </w:rPr>
      </w:pPr>
      <w:r>
        <w:rPr>
          <w:sz w:val="28"/>
        </w:rPr>
        <w:t>1) Определить сумму погашаемого остатка. Уравнение эквивалентности составить относительно 01.03 и относительно 01.02. Что выражает уравнение эквивалентности в каждом случае</w:t>
      </w:r>
      <w:r>
        <w:rPr>
          <w:sz w:val="28"/>
          <w:lang w:val="en-US"/>
        </w:rPr>
        <w:t xml:space="preserve">? </w:t>
      </w:r>
      <w:r>
        <w:rPr>
          <w:sz w:val="28"/>
        </w:rPr>
        <w:t>Зависит ли ответ от выбранного момента времени для составления уравнения эквивалентности</w:t>
      </w:r>
      <w:r>
        <w:rPr>
          <w:sz w:val="28"/>
          <w:lang w:val="en-US"/>
        </w:rPr>
        <w:t xml:space="preserve">? </w:t>
      </w:r>
    </w:p>
    <w:p>
      <w:pPr>
        <w:pStyle w:val="Iauiue"/>
        <w:tabs>
          <w:tab w:val="clear" w:pos="720"/>
          <w:tab w:val="left" w:pos="360" w:leader="none"/>
          <w:tab w:val="left" w:pos="993" w:leader="none"/>
        </w:tabs>
        <w:spacing w:lineRule="auto" w:line="360"/>
        <w:ind w:firstLine="567" w:end="0"/>
        <w:jc w:val="both"/>
        <w:rPr>
          <w:sz w:val="28"/>
        </w:rPr>
      </w:pPr>
      <w:r>
        <w:rPr>
          <w:sz w:val="28"/>
        </w:rPr>
        <w:t>2) Какой суммой, выплачиваемой сегодня, можно было бы заменить старое обязательство</w:t>
      </w:r>
      <w:r>
        <w:rPr>
          <w:sz w:val="28"/>
          <w:lang w:val="en-US"/>
        </w:rPr>
        <w:t>?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Заем величиной 10 000 д.е. должен быть оплачен в течение 10 лет постоянной обычной рентой, выплачиваемой ежемесячно. Сумма ежемесячного платежа рассчитывается на основе ежемесячной процентной ставки 1%. Найти:</w:t>
      </w:r>
    </w:p>
    <w:p>
      <w:pPr>
        <w:pStyle w:val="BodyText"/>
        <w:keepLines w:val="false"/>
        <w:widowControl/>
        <w:tabs>
          <w:tab w:val="clear" w:pos="720"/>
          <w:tab w:val="left" w:pos="6946" w:leader="none"/>
        </w:tabs>
        <w:spacing w:before="0" w:after="0"/>
        <w:ind w:firstLine="567" w:end="0"/>
        <w:jc w:val="both"/>
        <w:rPr>
          <w:sz w:val="28"/>
        </w:rPr>
      </w:pPr>
      <w:r>
        <w:rPr>
          <w:sz w:val="28"/>
        </w:rPr>
        <w:t>а) сумму ежемесячного взноса;</w:t>
      </w:r>
    </w:p>
    <w:p>
      <w:pPr>
        <w:pStyle w:val="BodyText"/>
        <w:keepLines w:val="false"/>
        <w:widowControl/>
        <w:tabs>
          <w:tab w:val="clear" w:pos="720"/>
          <w:tab w:val="left" w:pos="6946" w:leader="none"/>
        </w:tabs>
        <w:spacing w:before="0" w:after="0"/>
        <w:ind w:firstLine="567" w:end="0"/>
        <w:jc w:val="both"/>
        <w:rPr>
          <w:sz w:val="28"/>
        </w:rPr>
      </w:pPr>
      <w:r>
        <w:rPr>
          <w:sz w:val="28"/>
        </w:rPr>
        <w:t>б) величину погашенного основного долга и выплаченных процентов к концу первого года;</w:t>
      </w:r>
    </w:p>
    <w:p>
      <w:pPr>
        <w:pStyle w:val="BodyText"/>
        <w:keepLines w:val="false"/>
        <w:widowControl/>
        <w:tabs>
          <w:tab w:val="clear" w:pos="720"/>
          <w:tab w:val="left" w:pos="6946" w:leader="none"/>
        </w:tabs>
        <w:spacing w:before="0" w:after="0"/>
        <w:ind w:firstLine="567" w:end="0"/>
        <w:jc w:val="both"/>
        <w:rPr>
          <w:sz w:val="28"/>
        </w:rPr>
      </w:pPr>
      <w:r>
        <w:rPr>
          <w:sz w:val="28"/>
        </w:rPr>
        <w:t>в) номер платежа, после которого невыплаченный долг становится меньше 5000 д.е.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Четырехгодичный контракт предусматривает взносы в два этапа с начислением на них сложных процентов по годовой процентной ставке 0,08 на первом этапе в течение первых 1,5 лет и по годовой процентной ставке 0,1 на втором этапе в последующие 2,5 года. На первом этапе взносы по 5000 д.е. производятся в конце каждого полугодия. На втором этапе взносы по 8000 д.е. производятся в конце каждого квартала. Найти величину вклада к концу четвертого года контракта.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Должник согласен оплатить заем величиной 3000 д.е. пятнадцатью годовыми выплатами величиной 500 д.е. с первой выплатой через 5 лет. Найти доходность этой сделки.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Заем величиной 5000 д.е. погашается одинаковыми ежемесячными взносами. На долг ежемесячно начисляются сложные проценты по ставке 12% годовых. За какой срок долг будет погашен, если ежемесячный взнос составляет:</w:t>
      </w:r>
    </w:p>
    <w:p>
      <w:pPr>
        <w:pStyle w:val="Iauiue"/>
        <w:spacing w:lineRule="auto" w:line="360"/>
        <w:ind w:start="709" w:end="0"/>
        <w:jc w:val="both"/>
        <w:rPr/>
      </w:pPr>
      <w:r>
        <w:rPr>
          <w:sz w:val="28"/>
        </w:rPr>
        <w:t xml:space="preserve">а) 50 д.е.; б) 100 д.е.?   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ind w:start="709" w:end="0"/>
        <w:jc w:val="both"/>
        <w:rPr>
          <w:sz w:val="28"/>
        </w:rPr>
      </w:pPr>
      <w:r>
        <w:rPr>
          <w:sz w:val="28"/>
        </w:rPr>
        <w:t xml:space="preserve">Для покупки через 12 лет оборудования за 200 000 д.е. фирма каждый год вкладывает деньги в резервный фонд для начисления сложных процентов по годовой процентной ставке 0,06. Первоначальные взносы были по 11855,41 д.е. После 8 лет банк увеличил годовую процентную ставку до 0,08. Какой величины были взносы в оставшийся период? 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 xml:space="preserve">Реструктуризация государственного долга была произведена следующим образом. Долг в сумме 1,4 млрд. д.е., который должен быть выплачен 1 января 1995 года, преобразован в облигации, выпущенные под гарантии правительства. По этим облигациям государство, начиная с 1 января 1995 года дважды в год выплачивает равные суммы до 2007 года. Для реструктуризации долга использовалась ставка (сложная) 3 % годовых. Какова сумма отдельного погасительного платежа </w:t>
      </w:r>
      <w:r>
        <w:rPr>
          <w:sz w:val="28"/>
          <w:lang w:val="en-US"/>
        </w:rPr>
        <w:t>?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Определите ставку внутренней нормы доходности инвестиционного проекта со следующим потоком платежей: (-20, -35, -25, 25, 45, 45, 20). Ставка банковского процента равна 20 %. Следует ли осуществлять проект?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Рассчитать показатели эффективности инвестиционного проекта с начальными инвестициями 10000 д.е. и постоянными доходами 4000 д.е. в год. Ставка процента 8% годовых.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Сравнить проекты  (-50, -50, -45, 65, 85, 85, 20, 20)  и</w:t>
      </w:r>
    </w:p>
    <w:p>
      <w:pPr>
        <w:pStyle w:val="Iauiue"/>
        <w:spacing w:lineRule="auto" w:line="360"/>
        <w:jc w:val="both"/>
        <w:rPr>
          <w:sz w:val="28"/>
        </w:rPr>
      </w:pPr>
      <w:r>
        <w:rPr>
          <w:sz w:val="28"/>
        </w:rPr>
        <w:t>(-60, -70, -50, -40, 110, 110, 110, 110). Ставка процента 15 % годовых.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 xml:space="preserve">Определить годовую внутреннюю доходность облигации А со следующим потоком платежей: </w:t>
      </w:r>
    </w:p>
    <w:tbl>
      <w:tblPr>
        <w:tblW w:w="7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1304"/>
        <w:gridCol w:w="1304"/>
        <w:gridCol w:w="1304"/>
        <w:gridCol w:w="1304"/>
        <w:gridCol w:w="1055"/>
      </w:tblGrid>
      <w:tr>
        <w:trPr/>
        <w:tc>
          <w:tcPr>
            <w:tcW w:w="1701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BodyText"/>
              <w:keepNext w:val="true"/>
              <w:keepLines w:val="false"/>
              <w:widowControl/>
              <w:tabs>
                <w:tab w:val="clear" w:pos="720"/>
                <w:tab w:val="left" w:pos="6946" w:leader="none"/>
              </w:tabs>
              <w:spacing w:lineRule="auto" w:line="240" w:before="360" w:after="0"/>
              <w:jc w:val="center"/>
              <w:rPr>
                <w:sz w:val="28"/>
              </w:rPr>
            </w:pPr>
            <w:r>
              <w:rPr>
                <w:sz w:val="28"/>
              </w:rPr>
              <w:t>Облигация</w:t>
            </w:r>
          </w:p>
        </w:tc>
        <w:tc>
          <w:tcPr>
            <w:tcW w:w="6271" w:type="dxa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lineRule="auto" w:line="240" w:before="60" w:after="0"/>
              <w:jc w:val="center"/>
              <w:rPr/>
            </w:pPr>
            <w:r>
              <w:rPr>
                <w:i/>
                <w:sz w:val="28"/>
                <w:lang w:val="en-US"/>
              </w:rPr>
              <w:t>t</w:t>
            </w:r>
            <w:r>
              <w:rPr>
                <w:i/>
                <w:sz w:val="28"/>
                <w:vertAlign w:val="subscript"/>
                <w:lang w:val="en-US"/>
              </w:rPr>
              <w:t>i</w:t>
            </w:r>
            <w:r>
              <w:rPr>
                <w:sz w:val="28"/>
                <w:vertAlign w:val="subscript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[</w:t>
            </w:r>
            <w:r>
              <w:rPr>
                <w:sz w:val="28"/>
              </w:rPr>
              <w:t>годы</w:t>
            </w:r>
            <w:r>
              <w:rPr>
                <w:sz w:val="28"/>
                <w:lang w:val="en-US"/>
              </w:rPr>
              <w:t>]</w:t>
            </w:r>
          </w:p>
        </w:tc>
      </w:tr>
      <w:tr>
        <w:trPr/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napToGrid w:val="false"/>
              <w:spacing w:before="60" w:after="0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</w:r>
          </w:p>
        </w:tc>
        <w:tc>
          <w:tcPr>
            <w:tcW w:w="13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1,5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1,8</w:t>
            </w:r>
          </w:p>
        </w:tc>
        <w:tc>
          <w:tcPr>
            <w:tcW w:w="1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>
        <w:trPr/>
        <w:tc>
          <w:tcPr>
            <w:tcW w:w="1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А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-100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+10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+20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+30</w:t>
            </w:r>
          </w:p>
        </w:tc>
        <w:tc>
          <w:tcPr>
            <w:tcW w:w="1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+140</w:t>
            </w:r>
          </w:p>
        </w:tc>
      </w:tr>
    </w:tbl>
    <w:p>
      <w:pPr>
        <w:pStyle w:val="BodyText"/>
        <w:keepLines w:val="false"/>
        <w:widowControl/>
        <w:tabs>
          <w:tab w:val="clear" w:pos="720"/>
          <w:tab w:val="left" w:pos="6946" w:leader="none"/>
        </w:tabs>
        <w:spacing w:lineRule="auto" w:line="240" w:before="0" w:after="0"/>
        <w:jc w:val="both"/>
        <w:rPr>
          <w:sz w:val="16"/>
        </w:rPr>
      </w:pPr>
      <w:r>
        <w:rPr>
          <w:sz w:val="16"/>
        </w:rPr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709" w:leader="none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 xml:space="preserve">По 6% купонной облигации номиналом 200 д.е. обещают производить каждый квартал купонные платежи. Определить цену облигации в момент, когда до погашения облигации остается: </w:t>
      </w:r>
    </w:p>
    <w:p>
      <w:pPr>
        <w:pStyle w:val="Iauiue"/>
        <w:numPr>
          <w:ilvl w:val="0"/>
          <w:numId w:val="0"/>
        </w:numPr>
        <w:tabs>
          <w:tab w:val="clear" w:pos="720"/>
          <w:tab w:val="left" w:pos="993" w:leader="none"/>
        </w:tabs>
        <w:spacing w:lineRule="auto" w:line="360"/>
        <w:ind w:hanging="0" w:start="709" w:end="0"/>
        <w:jc w:val="both"/>
        <w:rPr>
          <w:sz w:val="28"/>
        </w:rPr>
      </w:pPr>
      <w:r>
        <w:rPr>
          <w:sz w:val="28"/>
        </w:rPr>
        <w:t>а) 16 месяцев; б) 15 месяцев.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ind w:start="709" w:end="0"/>
        <w:jc w:val="both"/>
        <w:rPr>
          <w:sz w:val="28"/>
        </w:rPr>
      </w:pPr>
      <w:r>
        <w:rPr>
          <w:sz w:val="28"/>
        </w:rPr>
        <w:t xml:space="preserve">Дана купонная облигация со следующими характеристиками: номинал 1000 д.е., срок до погашения 9,25 лет, купонные платежи каждые полгода. Внутренняя доходность облигации 9% годовых. Сравнить относительные изменения цены облигации при изменении ее внутренней доходности на величину ± 2% для купонных ставок  8%  и  9%  годовых. 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 xml:space="preserve">Рассматривается 8% купонная облигация номиналом 1000 д.е., по которой обещают производить купонные выплаты дважды в году в течение 3-х лет. Безрисковые процентные ставки одинаковы для всех сроков и равны 10% годовых. </w:t>
      </w:r>
    </w:p>
    <w:p>
      <w:pPr>
        <w:pStyle w:val="Iauiue"/>
        <w:spacing w:lineRule="auto" w:line="360"/>
        <w:ind w:firstLine="567" w:end="0"/>
        <w:jc w:val="both"/>
        <w:rPr/>
      </w:pPr>
      <w:r>
        <w:rPr>
          <w:sz w:val="28"/>
        </w:rPr>
        <w:t xml:space="preserve">1)  Вычислить дюрацию и показатель выпуклости облигации; </w:t>
      </w:r>
    </w:p>
    <w:p>
      <w:pPr>
        <w:pStyle w:val="Iauiue"/>
        <w:widowControl w:val="false"/>
        <w:spacing w:lineRule="auto" w:line="360"/>
        <w:ind w:firstLine="567" w:end="0"/>
        <w:jc w:val="both"/>
        <w:rPr>
          <w:sz w:val="28"/>
        </w:rPr>
      </w:pPr>
      <w:r>
        <w:rPr>
          <w:sz w:val="28"/>
        </w:rPr>
        <w:t xml:space="preserve">2) оценить относительное изменение цены облигации при изменении процентных ставок на  ± 1%, используя а) только дюрацию облигации;  б) дюрацию и показатель выпуклости облигации. Указать роль каждого из показателей в оценке изменения цены облигации. Сделать рисунок. </w:t>
      </w:r>
    </w:p>
    <w:p>
      <w:pPr>
        <w:pStyle w:val="Iauiue"/>
        <w:widowControl w:val="fals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На рынке имеется 9% купонная облигация номиналом 1000 д.е., по которой обещают каждый год производить купонные выплаты в течение 5 лет. Безрисковые процентные ставки одинаковы и равны 9% годовых. Найти планируемую фактическую стоимость инвестиции в облигацию в момент времени, равный дюрации облигации, если через полгода после покупки облигации процентные ставки снизились до 8,5 % , а через 1,5 года после покупки снова установились на уровне 9 % годовых.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Инвестор со сроком инвестиции 3 года рассматривает покупку 20-летней облигации, купонные платежи по которой выплачиваются каждые полгода. Номинал облигации 1000 д.е., годовая купонная ставка 8 %, доходность к погашению 10 % годовых. Инвестор ожидает, что он сможет реинвестировать купонные выплаты по годовой ставке 6 % и в конце планируемого срока инвестиции  17-летняя  облигация будет  продаваться с доходностью к погашению 7 % годовых. Определить годовую доходность инвестиции в эту облигацию на 3 года при этих условиях.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/>
        <w:t xml:space="preserve">Имеются облигации трех видов: </w:t>
      </w:r>
    </w:p>
    <w:tbl>
      <w:tblPr>
        <w:tblW w:w="7938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39"/>
        <w:gridCol w:w="1630"/>
        <w:gridCol w:w="1630"/>
        <w:gridCol w:w="2339"/>
      </w:tblGrid>
      <w:tr>
        <w:trPr/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both"/>
              <w:rPr>
                <w:sz w:val="28"/>
              </w:rPr>
            </w:pPr>
            <w:r>
              <w:rPr>
                <w:sz w:val="28"/>
              </w:rPr>
              <w:t>Срок (годы)</w:t>
            </w:r>
          </w:p>
        </w:tc>
        <w:tc>
          <w:tcPr>
            <w:tcW w:w="1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z w:val="28"/>
                <w:vertAlign w:val="subscript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z w:val="28"/>
                <w:vertAlign w:val="subscript"/>
              </w:rPr>
              <w:t>2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z w:val="28"/>
                <w:vertAlign w:val="subscript"/>
              </w:rPr>
              <w:t>3</w:t>
            </w:r>
          </w:p>
        </w:tc>
      </w:tr>
      <w:tr>
        <w:trPr/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-855,37</w:t>
            </w:r>
          </w:p>
        </w:tc>
        <w:tc>
          <w:tcPr>
            <w:tcW w:w="1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-291,72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-990,91</w:t>
            </w:r>
          </w:p>
        </w:tc>
      </w:tr>
      <w:tr>
        <w:trPr/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0,5</w:t>
            </w:r>
          </w:p>
        </w:tc>
        <w:tc>
          <w:tcPr>
            <w:tcW w:w="1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  <w:tc>
          <w:tcPr>
            <w:tcW w:w="1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10,5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</w:tr>
      <w:tr>
        <w:trPr/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  <w:tc>
          <w:tcPr>
            <w:tcW w:w="1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10,5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90</w:t>
            </w:r>
          </w:p>
        </w:tc>
      </w:tr>
      <w:tr>
        <w:trPr/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1,5</w:t>
            </w:r>
          </w:p>
        </w:tc>
        <w:tc>
          <w:tcPr>
            <w:tcW w:w="1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  <w:tc>
          <w:tcPr>
            <w:tcW w:w="1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500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</w:tr>
      <w:tr>
        <w:trPr/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1035</w:t>
            </w:r>
          </w:p>
        </w:tc>
        <w:tc>
          <w:tcPr>
            <w:tcW w:w="1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1100</w:t>
            </w:r>
          </w:p>
        </w:tc>
      </w:tr>
    </w:tbl>
    <w:p>
      <w:pPr>
        <w:pStyle w:val="BodyText"/>
        <w:keepLines w:val="false"/>
        <w:widowControl/>
        <w:tabs>
          <w:tab w:val="clear" w:pos="720"/>
          <w:tab w:val="left" w:pos="6946" w:leader="none"/>
        </w:tabs>
        <w:spacing w:before="0" w:after="0"/>
        <w:jc w:val="both"/>
        <w:rPr>
          <w:sz w:val="16"/>
          <w:lang w:val="en-US"/>
        </w:rPr>
      </w:pPr>
      <w:r>
        <w:rPr>
          <w:sz w:val="16"/>
          <w:lang w:val="en-US"/>
        </w:rPr>
      </w:r>
    </w:p>
    <w:p>
      <w:pPr>
        <w:pStyle w:val="BodyText"/>
        <w:keepLines w:val="false"/>
        <w:widowControl w:val="false"/>
        <w:tabs>
          <w:tab w:val="clear" w:pos="720"/>
          <w:tab w:val="left" w:pos="6946" w:leader="none"/>
        </w:tabs>
        <w:spacing w:before="0" w:after="0"/>
        <w:jc w:val="both"/>
        <w:rPr>
          <w:sz w:val="28"/>
        </w:rPr>
      </w:pPr>
      <w:r>
        <w:rPr>
          <w:sz w:val="28"/>
        </w:rPr>
        <w:t>Построить поток платежей от портфеля П(2000, 2000, 2000). Найти дюрацию и показатель выпуклости портфеля (рыночную процентную ставку определить из условия задачи).</w:t>
      </w:r>
    </w:p>
    <w:p>
      <w:pPr>
        <w:pStyle w:val="Iauiue"/>
        <w:widowControl w:val="fals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Дюрации пяти видов облигаций соответственно равны: 3; 3.5; 3.75; 4.2; 4.5 лет, а их показатели выпуклости – 10, 12, 15, 20 и 25 лет</w:t>
      </w:r>
      <w:r>
        <w:rPr>
          <w:sz w:val="28"/>
          <w:lang w:val="en-GB"/>
        </w:rPr>
        <w:object w:dxaOrig="220" w:dyaOrig="360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11pt;height:18pt" filled="f" o:ole="">
            <v:imagedata r:id="rId9" o:title=""/>
          </v:shape>
          <o:OLEObject Type="Embed" ProgID="" ShapeID="ole_rId8" DrawAspect="Content" ObjectID="_1118571185" r:id="rId8"/>
        </w:object>
      </w:r>
      <w:r>
        <w:rPr>
          <w:sz w:val="28"/>
        </w:rPr>
        <w:t xml:space="preserve">. Сформировать портфель из этих облигаций с дюрацией, равной 4 годам и наименьшим показателем выпуклости, если  </w:t>
      </w:r>
      <w:r>
        <w:rPr>
          <w:sz w:val="28"/>
        </w:rPr>
        <w:object w:dxaOrig="2640" w:dyaOrig="320"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32pt;height:16pt" filled="f" o:ole="">
            <v:imagedata r:id="rId11" o:title=""/>
          </v:shape>
          <o:OLEObject Type="Embed" ProgID="" ShapeID="ole_rId10" DrawAspect="Content" ObjectID="_45247166" r:id="rId10"/>
        </w:object>
      </w:r>
      <w:r>
        <w:rPr>
          <w:sz w:val="28"/>
        </w:rPr>
        <w:t>Для полученного значения показателя выпуклости портфеля оценить относительное изменение цены портфеля при изменении рыночной процентной ставки с 9% до 8% годовых.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/>
        <w:t>Портфель составлен из облигаций трех видов. Купонные платежи по облигациям производятся раз в год.</w:t>
      </w:r>
    </w:p>
    <w:tbl>
      <w:tblPr>
        <w:tblW w:w="90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26"/>
        <w:gridCol w:w="1701"/>
        <w:gridCol w:w="2176"/>
        <w:gridCol w:w="1801"/>
        <w:gridCol w:w="1801"/>
      </w:tblGrid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spacing w:lineRule="auto" w:line="24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Облигация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spacing w:lineRule="auto" w:line="24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Купонная ставка, %</w:t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spacing w:lineRule="auto" w:line="24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Срок погашения (лет)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spacing w:lineRule="auto" w:line="24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Номинал, д.е.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spacing w:lineRule="auto" w:line="24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Рыночная стоимость, д.е.</w:t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spacing w:lineRule="auto" w:line="36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z w:val="28"/>
                <w:vertAlign w:val="subscript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spacing w:lineRule="auto" w:line="36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7,0</w:t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spacing w:lineRule="auto" w:line="36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spacing w:lineRule="auto" w:line="36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10000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spacing w:lineRule="auto" w:line="36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9209</w:t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spacing w:lineRule="auto" w:line="36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z w:val="28"/>
                <w:vertAlign w:val="subscript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spacing w:lineRule="auto" w:line="36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10,5</w:t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spacing w:lineRule="auto" w:line="36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spacing w:lineRule="auto" w:line="36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20000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spacing w:lineRule="auto" w:line="36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20000</w:t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spacing w:lineRule="auto" w:line="36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z w:val="28"/>
                <w:vertAlign w:val="subscript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spacing w:lineRule="auto" w:line="36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6,0</w:t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spacing w:lineRule="auto" w:line="36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spacing w:lineRule="auto" w:line="36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30000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spacing w:lineRule="auto" w:line="36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28050</w:t>
            </w:r>
          </w:p>
        </w:tc>
      </w:tr>
    </w:tbl>
    <w:p>
      <w:pPr>
        <w:pStyle w:val="Iauiue"/>
        <w:spacing w:lineRule="auto" w:line="360"/>
        <w:jc w:val="both"/>
        <w:rPr>
          <w:sz w:val="28"/>
        </w:rPr>
      </w:pPr>
      <w:r>
        <w:rPr>
          <w:sz w:val="28"/>
        </w:rPr>
        <w:t>Определить средневзвешенную доходность портфеля и внутреннюю ставку доходности.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Инвестор через два года должен осуществить за счет своего портфеля платеж 1 млн. д.е. Инвестор рассматривает возможности инвестирования в облигации двух видов В</w:t>
      </w:r>
      <w:r>
        <w:rPr>
          <w:sz w:val="28"/>
          <w:lang w:val="en-GB"/>
        </w:rPr>
        <w:object w:dxaOrig="160" w:dyaOrig="360">
          <v:shapetype id="_x0000_tole_rId12" coordsize="21600,21600" o:spt="ole_rId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8pt;height:18pt" filled="f" o:ole="">
            <v:imagedata r:id="rId13" o:title=""/>
          </v:shape>
          <o:OLEObject Type="Embed" ProgID="" ShapeID="ole_rId12" DrawAspect="Content" ObjectID="_1904350350" r:id="rId12"/>
        </w:object>
      </w:r>
      <w:r>
        <w:rPr>
          <w:sz w:val="28"/>
        </w:rPr>
        <w:t xml:space="preserve"> и  В</w:t>
      </w:r>
      <w:r>
        <w:rPr>
          <w:sz w:val="28"/>
          <w:lang w:val="en-GB"/>
        </w:rPr>
        <w:object w:dxaOrig="220" w:dyaOrig="320"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11pt;height:16pt" filled="f" o:ole="">
            <v:imagedata r:id="rId15" o:title=""/>
          </v:shape>
          <o:OLEObject Type="Embed" ProgID="" ShapeID="ole_rId14" DrawAspect="Content" ObjectID="_425145986" r:id="rId14"/>
        </w:object>
      </w:r>
      <w:r>
        <w:rPr>
          <w:sz w:val="28"/>
        </w:rPr>
        <w:t>, параметры которых приведены в таблице:</w:t>
      </w:r>
    </w:p>
    <w:tbl>
      <w:tblPr>
        <w:tblW w:w="90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16"/>
        <w:gridCol w:w="1560"/>
        <w:gridCol w:w="1701"/>
        <w:gridCol w:w="2227"/>
        <w:gridCol w:w="1801"/>
      </w:tblGrid>
      <w:tr>
        <w:trPr/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lineRule="auto" w:line="24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Вид облигации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lineRule="auto" w:line="24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Номинал (д.е.)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lineRule="auto" w:line="24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Купонная ставка</w:t>
            </w:r>
          </w:p>
        </w:tc>
        <w:tc>
          <w:tcPr>
            <w:tcW w:w="2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lineRule="auto" w:line="24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Число платежей в году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lineRule="auto" w:line="240"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Срок  до погашения</w:t>
            </w:r>
          </w:p>
        </w:tc>
      </w:tr>
      <w:tr>
        <w:trPr/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lineRule="auto" w:line="240" w:before="60" w:after="0"/>
              <w:jc w:val="center"/>
              <w:rPr/>
            </w:pPr>
            <w:r>
              <w:rPr>
                <w:sz w:val="28"/>
              </w:rPr>
              <w:t>В</w:t>
            </w:r>
            <w:r>
              <w:rPr>
                <w:sz w:val="28"/>
                <w:vertAlign w:val="subscript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1000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7%</w:t>
            </w:r>
          </w:p>
        </w:tc>
        <w:tc>
          <w:tcPr>
            <w:tcW w:w="2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1 год</w:t>
            </w:r>
          </w:p>
        </w:tc>
      </w:tr>
      <w:tr>
        <w:trPr/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/>
            </w:pPr>
            <w:r>
              <w:rPr>
                <w:sz w:val="28"/>
              </w:rPr>
              <w:t>В</w:t>
            </w:r>
            <w:r>
              <w:rPr>
                <w:sz w:val="28"/>
                <w:vertAlign w:val="subscript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1000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8%</w:t>
            </w:r>
          </w:p>
        </w:tc>
        <w:tc>
          <w:tcPr>
            <w:tcW w:w="2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keepLines w:val="false"/>
              <w:widowControl/>
              <w:tabs>
                <w:tab w:val="clear" w:pos="720"/>
                <w:tab w:val="left" w:pos="6946" w:leader="none"/>
              </w:tabs>
              <w:spacing w:before="60" w:after="0"/>
              <w:jc w:val="center"/>
              <w:rPr>
                <w:sz w:val="28"/>
              </w:rPr>
            </w:pPr>
            <w:r>
              <w:rPr>
                <w:sz w:val="28"/>
              </w:rPr>
              <w:t>3 года</w:t>
            </w:r>
          </w:p>
        </w:tc>
      </w:tr>
    </w:tbl>
    <w:p>
      <w:pPr>
        <w:pStyle w:val="BodyText"/>
        <w:keepLines w:val="false"/>
        <w:widowControl/>
        <w:tabs>
          <w:tab w:val="clear" w:pos="720"/>
          <w:tab w:val="left" w:pos="6946" w:leader="none"/>
        </w:tabs>
        <w:spacing w:before="0" w:after="0"/>
        <w:jc w:val="both"/>
        <w:rPr>
          <w:sz w:val="16"/>
        </w:rPr>
      </w:pPr>
      <w:r>
        <w:rPr>
          <w:sz w:val="16"/>
        </w:rPr>
      </w:r>
    </w:p>
    <w:p>
      <w:pPr>
        <w:pStyle w:val="BodyText"/>
        <w:keepLines w:val="false"/>
        <w:widowControl w:val="false"/>
        <w:tabs>
          <w:tab w:val="clear" w:pos="720"/>
          <w:tab w:val="left" w:pos="6946" w:leader="none"/>
        </w:tabs>
        <w:spacing w:before="0" w:after="0"/>
        <w:jc w:val="both"/>
        <w:rPr>
          <w:sz w:val="28"/>
        </w:rPr>
      </w:pPr>
      <w:r>
        <w:rPr>
          <w:sz w:val="28"/>
        </w:rPr>
        <w:t>Процентные ставки на рынке одинаковы для всех сроков и составляют 10 % годовых. Предполагается,  что процентные ставки на рынке могут измениться на одну и ту же величину для всех сроков. Считая, что сразу после формирования портфеля процентные ставки а) поднялись до 11 % ; б) снизились до 9 %,</w:t>
      </w:r>
    </w:p>
    <w:p>
      <w:pPr>
        <w:pStyle w:val="BodyText"/>
        <w:keepLines w:val="false"/>
        <w:widowControl/>
        <w:tabs>
          <w:tab w:val="clear" w:pos="720"/>
          <w:tab w:val="left" w:pos="6946" w:leader="none"/>
        </w:tabs>
        <w:spacing w:before="0" w:after="0"/>
        <w:ind w:firstLine="567" w:end="0"/>
        <w:jc w:val="both"/>
        <w:rPr>
          <w:sz w:val="28"/>
        </w:rPr>
      </w:pPr>
      <w:r>
        <w:rPr>
          <w:sz w:val="28"/>
        </w:rPr>
        <w:t>1) рассмотреть возможные альтернативы инвестора;</w:t>
      </w:r>
    </w:p>
    <w:p>
      <w:pPr>
        <w:pStyle w:val="BodyText"/>
        <w:keepLines w:val="false"/>
        <w:widowControl/>
        <w:tabs>
          <w:tab w:val="clear" w:pos="720"/>
          <w:tab w:val="left" w:pos="6946" w:leader="none"/>
        </w:tabs>
        <w:spacing w:before="0" w:after="0"/>
        <w:ind w:firstLine="567" w:end="0"/>
        <w:jc w:val="both"/>
        <w:rPr>
          <w:sz w:val="28"/>
        </w:rPr>
      </w:pPr>
      <w:r>
        <w:rPr>
          <w:sz w:val="28"/>
        </w:rPr>
        <w:t>2) сформировать иммунизированный портфель, позволяющий инвестору через два года выполнить его обязательство.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В начальный момент времени безрисковые процентные ставки для всех сроков одинаковы и равны 8% годовых. На рынке имеются купонные облигации со следующими параметрами: A</w:t>
      </w:r>
      <w:r>
        <w:rPr>
          <w:sz w:val="28"/>
          <w:vertAlign w:val="subscript"/>
        </w:rPr>
        <w:t>1</w:t>
      </w:r>
      <w:r>
        <w:rPr>
          <w:sz w:val="28"/>
        </w:rPr>
        <w:t xml:space="preserve"> = A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= 100  д.е.,  f</w:t>
      </w:r>
      <w:r>
        <w:rPr>
          <w:sz w:val="28"/>
          <w:vertAlign w:val="subscript"/>
        </w:rPr>
        <w:t>1</w:t>
      </w:r>
      <w:r>
        <w:rPr>
          <w:sz w:val="28"/>
        </w:rPr>
        <w:t xml:space="preserve"> = f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= 10%, T</w:t>
      </w:r>
      <w:r>
        <w:rPr>
          <w:sz w:val="28"/>
          <w:vertAlign w:val="subscript"/>
        </w:rPr>
        <w:t>1</w:t>
      </w:r>
      <w:r>
        <w:rPr>
          <w:sz w:val="28"/>
        </w:rPr>
        <w:t xml:space="preserve"> = 2  года, T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= 4 года. Рассчитать стратегию иммунизации портфеля при инвестировании 10000 д.е. в данные облигации сроком на 3 года, если через год после инвестирования безрисковые процентные ставки увеличились до 9 %  годовых.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В условиях предыдущей задачи учесть, что при покупке и продаже облигаций берутся комиссионные в размере 0,5 %.</w:t>
      </w:r>
    </w:p>
    <w:p>
      <w:pPr>
        <w:pStyle w:val="Iauiu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 w:before="0" w:after="120"/>
        <w:jc w:val="both"/>
        <w:rPr>
          <w:sz w:val="28"/>
        </w:rPr>
      </w:pPr>
      <w:r>
        <w:rPr>
          <w:sz w:val="28"/>
        </w:rPr>
        <w:t>Через 1, 2 и 3 года инвестору предстоят выплаты соответственно в размерах 400, 600 и 1000 д.е. На рынке имеются облигации  А и В со следующими параметрами:</w:t>
      </w:r>
    </w:p>
    <w:tbl>
      <w:tblPr>
        <w:tblW w:w="84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09"/>
        <w:gridCol w:w="1665"/>
        <w:gridCol w:w="1666"/>
        <w:gridCol w:w="1666"/>
        <w:gridCol w:w="1666"/>
      </w:tblGrid>
      <w:tr>
        <w:trPr/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tabs>
                <w:tab w:val="clear" w:pos="720"/>
                <w:tab w:val="left" w:pos="993" w:leader="none"/>
              </w:tabs>
              <w:spacing w:before="60" w:after="60"/>
              <w:jc w:val="center"/>
              <w:rPr>
                <w:sz w:val="28"/>
              </w:rPr>
            </w:pPr>
            <w:r>
              <w:rPr>
                <w:sz w:val="28"/>
              </w:rPr>
              <w:t>Облигация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tabs>
                <w:tab w:val="clear" w:pos="720"/>
                <w:tab w:val="left" w:pos="993" w:leader="none"/>
              </w:tabs>
              <w:spacing w:before="60" w:after="60"/>
              <w:jc w:val="center"/>
              <w:rPr/>
            </w:pPr>
            <w:r>
              <w:rPr>
                <w:sz w:val="28"/>
              </w:rPr>
              <w:t>С</w:t>
            </w:r>
            <w:r>
              <w:rPr>
                <w:sz w:val="28"/>
                <w:vertAlign w:val="subscript"/>
              </w:rPr>
              <w:t>1</w:t>
            </w:r>
          </w:p>
        </w:tc>
        <w:tc>
          <w:tcPr>
            <w:tcW w:w="1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tabs>
                <w:tab w:val="clear" w:pos="720"/>
                <w:tab w:val="left" w:pos="993" w:leader="none"/>
              </w:tabs>
              <w:spacing w:before="60" w:after="60"/>
              <w:jc w:val="center"/>
              <w:rPr/>
            </w:pPr>
            <w:r>
              <w:rPr>
                <w:sz w:val="28"/>
              </w:rPr>
              <w:t>С</w:t>
            </w:r>
            <w:r>
              <w:rPr>
                <w:sz w:val="28"/>
                <w:vertAlign w:val="subscript"/>
              </w:rPr>
              <w:t>2</w:t>
            </w:r>
          </w:p>
        </w:tc>
        <w:tc>
          <w:tcPr>
            <w:tcW w:w="1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tabs>
                <w:tab w:val="clear" w:pos="720"/>
                <w:tab w:val="left" w:pos="993" w:leader="none"/>
              </w:tabs>
              <w:spacing w:before="60" w:after="60"/>
              <w:jc w:val="center"/>
              <w:rPr/>
            </w:pPr>
            <w:r>
              <w:rPr>
                <w:sz w:val="28"/>
              </w:rPr>
              <w:t>С</w:t>
            </w:r>
            <w:r>
              <w:rPr>
                <w:sz w:val="28"/>
                <w:vertAlign w:val="subscript"/>
              </w:rPr>
              <w:t>3</w:t>
            </w:r>
          </w:p>
        </w:tc>
        <w:tc>
          <w:tcPr>
            <w:tcW w:w="1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tabs>
                <w:tab w:val="clear" w:pos="720"/>
                <w:tab w:val="left" w:pos="993" w:leader="none"/>
              </w:tabs>
              <w:spacing w:before="60" w:after="60"/>
              <w:jc w:val="center"/>
              <w:rPr>
                <w:sz w:val="28"/>
              </w:rPr>
            </w:pPr>
            <w:r>
              <w:rPr>
                <w:sz w:val="28"/>
              </w:rPr>
              <w:t>Р</w:t>
            </w:r>
          </w:p>
        </w:tc>
      </w:tr>
      <w:tr>
        <w:trPr/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tabs>
                <w:tab w:val="clear" w:pos="720"/>
                <w:tab w:val="left" w:pos="993" w:leader="none"/>
              </w:tabs>
              <w:spacing w:before="60" w:after="60"/>
              <w:jc w:val="center"/>
              <w:rPr>
                <w:sz w:val="28"/>
              </w:rPr>
            </w:pPr>
            <w:r>
              <w:rPr>
                <w:sz w:val="28"/>
              </w:rPr>
              <w:t>А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tabs>
                <w:tab w:val="clear" w:pos="720"/>
                <w:tab w:val="left" w:pos="993" w:leader="none"/>
              </w:tabs>
              <w:spacing w:before="60" w:after="60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1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tabs>
                <w:tab w:val="clear" w:pos="720"/>
                <w:tab w:val="left" w:pos="993" w:leader="none"/>
              </w:tabs>
              <w:spacing w:before="60" w:after="60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1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tabs>
                <w:tab w:val="clear" w:pos="720"/>
                <w:tab w:val="left" w:pos="993" w:leader="none"/>
              </w:tabs>
              <w:spacing w:before="60" w:after="60"/>
              <w:jc w:val="center"/>
              <w:rPr>
                <w:sz w:val="28"/>
              </w:rPr>
            </w:pPr>
            <w:r>
              <w:rPr>
                <w:sz w:val="28"/>
              </w:rPr>
              <w:t>100</w:t>
            </w:r>
          </w:p>
        </w:tc>
        <w:tc>
          <w:tcPr>
            <w:tcW w:w="1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tabs>
                <w:tab w:val="clear" w:pos="720"/>
                <w:tab w:val="left" w:pos="993" w:leader="none"/>
              </w:tabs>
              <w:spacing w:before="60" w:after="60"/>
              <w:jc w:val="center"/>
              <w:rPr>
                <w:sz w:val="28"/>
              </w:rPr>
            </w:pPr>
            <w:r>
              <w:rPr>
                <w:sz w:val="28"/>
              </w:rPr>
              <w:t>100</w:t>
            </w:r>
          </w:p>
        </w:tc>
      </w:tr>
      <w:tr>
        <w:trPr/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tabs>
                <w:tab w:val="clear" w:pos="720"/>
                <w:tab w:val="left" w:pos="993" w:leader="none"/>
              </w:tabs>
              <w:spacing w:before="60" w:after="60"/>
              <w:jc w:val="center"/>
              <w:rPr>
                <w:sz w:val="28"/>
              </w:rPr>
            </w:pPr>
            <w:r>
              <w:rPr>
                <w:sz w:val="28"/>
              </w:rPr>
              <w:t>В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tabs>
                <w:tab w:val="clear" w:pos="720"/>
                <w:tab w:val="left" w:pos="993" w:leader="none"/>
              </w:tabs>
              <w:spacing w:before="60" w:after="6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tabs>
                <w:tab w:val="clear" w:pos="720"/>
                <w:tab w:val="left" w:pos="993" w:leader="none"/>
              </w:tabs>
              <w:spacing w:before="60" w:after="60"/>
              <w:jc w:val="center"/>
              <w:rPr>
                <w:sz w:val="28"/>
              </w:rPr>
            </w:pPr>
            <w:r>
              <w:rPr>
                <w:sz w:val="28"/>
              </w:rPr>
              <w:t>100</w:t>
            </w:r>
          </w:p>
        </w:tc>
        <w:tc>
          <w:tcPr>
            <w:tcW w:w="1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tabs>
                <w:tab w:val="clear" w:pos="720"/>
                <w:tab w:val="left" w:pos="993" w:leader="none"/>
              </w:tabs>
              <w:snapToGrid w:val="false"/>
              <w:spacing w:before="60" w:after="6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auiue"/>
              <w:tabs>
                <w:tab w:val="clear" w:pos="720"/>
                <w:tab w:val="left" w:pos="993" w:leader="none"/>
              </w:tabs>
              <w:spacing w:before="60" w:after="60"/>
              <w:jc w:val="center"/>
              <w:rPr>
                <w:sz w:val="28"/>
              </w:rPr>
            </w:pPr>
            <w:r>
              <w:rPr>
                <w:sz w:val="28"/>
              </w:rPr>
              <w:t>90</w:t>
            </w:r>
          </w:p>
        </w:tc>
      </w:tr>
    </w:tbl>
    <w:p>
      <w:pPr>
        <w:pStyle w:val="Iauiue"/>
        <w:tabs>
          <w:tab w:val="clear" w:pos="720"/>
          <w:tab w:val="left" w:pos="993" w:leader="none"/>
        </w:tabs>
        <w:spacing w:lineRule="auto" w:line="360" w:before="120" w:after="0"/>
        <w:jc w:val="both"/>
        <w:rPr>
          <w:sz w:val="28"/>
        </w:rPr>
      </w:pPr>
      <w:r>
        <w:rPr>
          <w:sz w:val="28"/>
        </w:rPr>
        <w:t xml:space="preserve">Рыночная ставка для всех сроков 5 % годовых. Сформировать портфель наименьшей стоимости, позволяющий инвестору: </w:t>
      </w:r>
    </w:p>
    <w:p>
      <w:pPr>
        <w:pStyle w:val="Iauiue"/>
        <w:tabs>
          <w:tab w:val="clear" w:pos="720"/>
          <w:tab w:val="left" w:pos="993" w:leader="none"/>
        </w:tabs>
        <w:spacing w:lineRule="auto" w:line="360"/>
        <w:ind w:start="567" w:end="0"/>
        <w:jc w:val="both"/>
        <w:rPr>
          <w:sz w:val="28"/>
        </w:rPr>
      </w:pPr>
      <w:r>
        <w:rPr>
          <w:sz w:val="28"/>
        </w:rPr>
        <w:t>1) выполнить его обязательства;</w:t>
      </w:r>
    </w:p>
    <w:p>
      <w:pPr>
        <w:pStyle w:val="Iauiue"/>
        <w:widowControl w:val="false"/>
        <w:numPr>
          <w:ilvl w:val="0"/>
          <w:numId w:val="0"/>
        </w:numPr>
        <w:tabs>
          <w:tab w:val="clear" w:pos="720"/>
          <w:tab w:val="left" w:pos="993" w:leader="none"/>
        </w:tabs>
        <w:spacing w:lineRule="auto" w:line="360"/>
        <w:ind w:firstLine="567" w:start="0" w:end="0"/>
        <w:jc w:val="both"/>
        <w:rPr>
          <w:sz w:val="28"/>
        </w:rPr>
      </w:pPr>
      <w:r>
        <w:rPr>
          <w:sz w:val="28"/>
        </w:rPr>
        <w:t>2) выполнить его обязательства при условии, что часть платежа, поступающего от портфеля, используется для выполнения обязательства через год.</w:t>
      </w:r>
    </w:p>
    <w:p>
      <w:pPr>
        <w:sectPr>
          <w:headerReference w:type="default" r:id="rId16"/>
          <w:footerReference w:type="default" r:id="rId17"/>
          <w:type w:val="nextPage"/>
          <w:pgSz w:w="11906" w:h="16838"/>
          <w:pgMar w:left="1797" w:right="1134" w:gutter="0" w:header="720" w:top="1440" w:footer="720" w:bottom="1758"/>
          <w:pgNumType w:start="1" w:fmt="decimal"/>
          <w:formProt w:val="false"/>
          <w:textDirection w:val="lrTb"/>
          <w:docGrid w:type="default" w:linePitch="360" w:charSpace="0"/>
        </w:sectPr>
      </w:pPr>
    </w:p>
    <w:p>
      <w:pPr>
        <w:pStyle w:val="Style15"/>
        <w:widowControl w:val="false"/>
        <w:numPr>
          <w:ilvl w:val="0"/>
          <w:numId w:val="0"/>
        </w:numPr>
        <w:ind w:end="0"/>
        <w:jc w:val="start"/>
        <w:rPr>
          <w:rFonts w:ascii="Times New Roman" w:hAnsi="Times New Roman" w:cs="Times New Roman"/>
          <w:b/>
          <w:sz w:val="24"/>
          <w:lang w:val="ru-RU"/>
        </w:rPr>
      </w:pPr>
      <w:r>
        <w:rPr>
          <w:rFonts w:cs="Times New Roman" w:ascii="Times New Roman" w:hAnsi="Times New Roman"/>
          <w:b/>
          <w:sz w:val="24"/>
          <w:lang w:val="ru-RU"/>
        </w:rPr>
      </w:r>
    </w:p>
    <w:p>
      <w:pPr>
        <w:sectPr>
          <w:type w:val="continuous"/>
          <w:pgSz w:w="11906" w:h="16838"/>
          <w:pgMar w:left="1797" w:right="1134" w:gutter="0" w:header="720" w:top="1440" w:footer="720" w:bottom="1758"/>
          <w:formProt w:val="false"/>
          <w:textDirection w:val="lrTb"/>
          <w:docGrid w:type="default" w:linePitch="360" w:charSpace="0"/>
        </w:sectPr>
      </w:pP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cs="Times New Roman" w:ascii="Times New Roman" w:hAnsi="Times New Roman"/>
          <w:b/>
          <w:sz w:val="28"/>
          <w:lang w:val="ru-RU"/>
        </w:rPr>
        <w:t>Приложение 2</w:t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cs="Times New Roman" w:ascii="Times New Roman" w:hAnsi="Times New Roman"/>
          <w:b/>
          <w:sz w:val="28"/>
          <w:lang w:val="ru-RU"/>
        </w:rPr>
        <w:t>Комплект учебно-методических материалов</w:t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cs="Times New Roman" w:ascii="Times New Roman" w:hAnsi="Times New Roman"/>
          <w:b/>
          <w:sz w:val="36"/>
          <w:lang w:val="ru-RU"/>
        </w:rPr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sz w:val="36"/>
          <w:lang w:val="ru-RU"/>
        </w:rPr>
      </w:pPr>
      <w:r>
        <w:rPr>
          <w:rFonts w:cs="Times New Roman" w:ascii="Times New Roman" w:hAnsi="Times New Roman"/>
          <w:sz w:val="36"/>
          <w:lang w:val="ru-RU"/>
        </w:rPr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sz w:val="36"/>
          <w:lang w:val="ru-RU"/>
        </w:rPr>
      </w:pPr>
      <w:r>
        <w:rPr>
          <w:rFonts w:cs="Times New Roman" w:ascii="Times New Roman" w:hAnsi="Times New Roman"/>
          <w:sz w:val="36"/>
          <w:lang w:val="ru-RU"/>
        </w:rPr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sz w:val="36"/>
          <w:lang w:val="ru-RU"/>
        </w:rPr>
      </w:pPr>
      <w:r>
        <w:rPr>
          <w:rFonts w:cs="Times New Roman" w:ascii="Times New Roman" w:hAnsi="Times New Roman"/>
          <w:sz w:val="36"/>
          <w:lang w:val="ru-RU"/>
        </w:rPr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sz w:val="36"/>
          <w:lang w:val="ru-RU"/>
        </w:rPr>
      </w:pPr>
      <w:r>
        <w:rPr>
          <w:rFonts w:cs="Times New Roman" w:ascii="Times New Roman" w:hAnsi="Times New Roman"/>
          <w:sz w:val="36"/>
          <w:lang w:val="ru-RU"/>
        </w:rPr>
      </w:r>
    </w:p>
    <w:p>
      <w:pPr>
        <w:pStyle w:val="Style15"/>
        <w:spacing w:lineRule="auto" w:line="360"/>
        <w:jc w:val="center"/>
        <w:rPr>
          <w:rFonts w:ascii="Times New Roman" w:hAnsi="Times New Roman" w:cs="Times New Roman"/>
          <w:b/>
          <w:sz w:val="32"/>
          <w:lang w:val="ru-RU"/>
        </w:rPr>
      </w:pPr>
      <w:r>
        <w:rPr>
          <w:rFonts w:cs="Times New Roman" w:ascii="Times New Roman" w:hAnsi="Times New Roman"/>
          <w:b/>
          <w:sz w:val="32"/>
          <w:lang w:val="ru-RU"/>
        </w:rPr>
        <w:t>Индивидуальные контрольные задания № 1 и № 2</w:t>
      </w:r>
    </w:p>
    <w:p>
      <w:pPr>
        <w:pStyle w:val="Style15"/>
        <w:spacing w:lineRule="auto" w:line="360"/>
        <w:jc w:val="both"/>
        <w:rPr>
          <w:rFonts w:ascii="Times New Roman" w:hAnsi="Times New Roman" w:cs="Times New Roman"/>
          <w:b/>
          <w:sz w:val="28"/>
          <w:lang w:val="ru-RU"/>
        </w:rPr>
      </w:pPr>
      <w:r>
        <w:rPr>
          <w:rFonts w:cs="Times New Roman" w:ascii="Times New Roman" w:hAnsi="Times New Roman"/>
          <w:b/>
          <w:sz w:val="28"/>
          <w:lang w:val="ru-RU"/>
        </w:rPr>
      </w:r>
    </w:p>
    <w:p>
      <w:pPr>
        <w:sectPr>
          <w:headerReference w:type="default" r:id="rId18"/>
          <w:footerReference w:type="default" r:id="rId19"/>
          <w:type w:val="nextPage"/>
          <w:pgSz w:w="11906" w:h="16838"/>
          <w:pgMar w:left="1797" w:right="1134" w:gutter="0" w:header="720" w:top="1440" w:footer="720" w:bottom="1758"/>
          <w:pgNumType w:start="1"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1906" w:h="16838"/>
          <w:pgMar w:left="1797" w:right="1134" w:gutter="0" w:header="720" w:top="1440" w:footer="720" w:bottom="1758"/>
          <w:formProt w:val="false"/>
          <w:textDirection w:val="lrTb"/>
          <w:docGrid w:type="default" w:linePitch="360" w:charSpace="0"/>
        </w:sectPr>
        <w:pStyle w:val="Style16"/>
        <w:numPr>
          <w:ilvl w:val="0"/>
          <w:numId w:val="0"/>
        </w:numPr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</w:r>
      <w:r>
        <w:br w:type="page"/>
      </w:r>
    </w:p>
    <w:p>
      <w:pPr>
        <w:pStyle w:val="Style16"/>
        <w:spacing w:before="0" w:after="120"/>
        <w:rPr/>
      </w:pPr>
      <w:r>
        <w:rPr/>
      </w:r>
    </w:p>
    <w:p>
      <w:pPr>
        <w:pStyle w:val="Style16"/>
        <w:spacing w:before="0" w:after="120"/>
        <w:rPr/>
      </w:pPr>
      <w:r>
        <w:rPr/>
      </w:r>
    </w:p>
    <w:p>
      <w:pPr>
        <w:pStyle w:val="Style16"/>
        <w:spacing w:before="0" w:after="120"/>
        <w:rPr>
          <w:sz w:val="28"/>
        </w:rPr>
      </w:pPr>
      <w:r>
        <w:rPr>
          <w:sz w:val="28"/>
        </w:rPr>
        <w:t>Индивидуальное контрольное задание № 1</w:t>
      </w:r>
    </w:p>
    <w:p>
      <w:pPr>
        <w:pStyle w:val="Style16"/>
        <w:spacing w:before="0" w:after="120"/>
        <w:rPr>
          <w:sz w:val="28"/>
        </w:rPr>
      </w:pPr>
      <w:r>
        <w:rPr>
          <w:sz w:val="28"/>
        </w:rPr>
      </w:r>
    </w:p>
    <w:p>
      <w:pPr>
        <w:pStyle w:val="Style16"/>
        <w:spacing w:before="0" w:after="120"/>
        <w:rPr>
          <w:sz w:val="32"/>
        </w:rPr>
      </w:pPr>
      <w:r>
        <w:rPr>
          <w:sz w:val="32"/>
        </w:rPr>
        <w:t>“</w:t>
      </w:r>
      <w:r>
        <w:rPr>
          <w:sz w:val="32"/>
        </w:rPr>
        <w:t>Оценка эффективности инвестиционного проекта”</w:t>
      </w:r>
    </w:p>
    <w:p>
      <w:pPr>
        <w:pStyle w:val="2"/>
        <w:spacing w:before="0" w:after="120"/>
        <w:rPr>
          <w:sz w:val="28"/>
        </w:rPr>
      </w:pPr>
      <w:r>
        <w:rPr>
          <w:sz w:val="28"/>
        </w:rPr>
      </w:r>
    </w:p>
    <w:p>
      <w:pPr>
        <w:pStyle w:val="2"/>
        <w:spacing w:before="0" w:after="120"/>
        <w:rPr>
          <w:sz w:val="28"/>
        </w:rPr>
      </w:pPr>
      <w:r>
        <w:rPr>
          <w:sz w:val="28"/>
        </w:rPr>
        <w:t>Количество вариантов: 40.</w:t>
      </w:r>
    </w:p>
    <w:p>
      <w:pPr>
        <w:pStyle w:val="2"/>
        <w:spacing w:before="0" w:after="120"/>
        <w:rPr>
          <w:sz w:val="28"/>
        </w:rPr>
      </w:pPr>
      <w:r>
        <w:rPr>
          <w:sz w:val="28"/>
        </w:rPr>
        <w:t xml:space="preserve">Составитель: </w:t>
        <w:tab/>
        <w:t xml:space="preserve">Попова Н.В. </w:t>
      </w:r>
    </w:p>
    <w:p>
      <w:pPr>
        <w:pStyle w:val="2"/>
        <w:spacing w:before="0" w:after="120"/>
        <w:rPr>
          <w:sz w:val="28"/>
        </w:rPr>
      </w:pPr>
      <w:r>
        <w:rPr>
          <w:sz w:val="28"/>
        </w:rPr>
      </w:r>
    </w:p>
    <w:p>
      <w:pPr>
        <w:sectPr>
          <w:headerReference w:type="default" r:id="rId20"/>
          <w:footerReference w:type="default" r:id="rId21"/>
          <w:type w:val="nextPage"/>
          <w:pgSz w:w="11906" w:h="16838"/>
          <w:pgMar w:left="1797" w:right="1134" w:gutter="0" w:header="720" w:top="1440" w:footer="720" w:bottom="1758"/>
          <w:pgNumType w:start="0"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sz w:val="28"/>
        </w:rPr>
      </w:pPr>
      <w:r>
        <w:rPr>
          <w:sz w:val="28"/>
        </w:rPr>
        <w:t xml:space="preserve">Найти показатели эффективности </w:t>
      </w:r>
      <w:r>
        <w:rPr>
          <w:i/>
          <w:sz w:val="28"/>
          <w:lang w:val="en-US"/>
        </w:rPr>
        <w:t>NPV, IRR, DPP, PI</w:t>
      </w:r>
      <w:r>
        <w:rPr>
          <w:sz w:val="28"/>
        </w:rPr>
        <w:t xml:space="preserve"> двух предложенных инвестиционных проектов для каждой из указанных процентных ставок</w:t>
      </w:r>
      <w:r>
        <w:rPr>
          <w:sz w:val="28"/>
          <w:lang w:val="en-US"/>
        </w:rPr>
        <w:t xml:space="preserve">. 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sz w:val="28"/>
        </w:rPr>
      </w:pPr>
      <w:r>
        <w:rPr>
          <w:sz w:val="28"/>
        </w:rPr>
        <w:t>Сделать вывод об эффективности</w:t>
      </w:r>
      <w:r>
        <w:rPr>
          <w:sz w:val="28"/>
          <w:lang w:val="en-US"/>
        </w:rPr>
        <w:t xml:space="preserve"> </w:t>
      </w:r>
      <w:r>
        <w:rPr>
          <w:sz w:val="28"/>
        </w:rPr>
        <w:t xml:space="preserve">проектов. Отметить согласованность показателей эффективности в оценке проекта. 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sz w:val="28"/>
        </w:rPr>
      </w:pPr>
      <w:r>
        <w:rPr>
          <w:sz w:val="28"/>
        </w:rPr>
        <w:t>Описать изменение оценки проекта при изменении процентной ставки.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sz w:val="28"/>
        </w:rPr>
      </w:pPr>
      <w:r>
        <w:rPr>
          <w:sz w:val="28"/>
        </w:rPr>
        <w:t>Указать и объяснить зависимость показателей эффективности от процентной ставки. Сделать рисунок.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sz w:val="28"/>
        </w:rPr>
      </w:pPr>
      <w:r>
        <w:rPr>
          <w:sz w:val="28"/>
        </w:rPr>
        <w:t xml:space="preserve">Сравнить проекты по критерию максимального </w:t>
      </w:r>
      <w:r>
        <w:rPr>
          <w:sz w:val="28"/>
          <w:lang w:val="en-US"/>
        </w:rPr>
        <w:t xml:space="preserve">NPV </w:t>
      </w:r>
      <w:r>
        <w:rPr>
          <w:sz w:val="28"/>
        </w:rPr>
        <w:t>для каждой из указанных процентных ставок</w:t>
      </w:r>
      <w:r>
        <w:rPr>
          <w:sz w:val="28"/>
          <w:lang w:val="en-US"/>
        </w:rPr>
        <w:t xml:space="preserve"> и </w:t>
      </w:r>
      <w:r>
        <w:rPr>
          <w:sz w:val="28"/>
        </w:rPr>
        <w:t xml:space="preserve">по критерию максимального IRR. Обосновать преимущество выбранного проекта. Объяснить изменение результата сравнения проектов при изменении процентной ставки. 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sz w:val="28"/>
        </w:rPr>
      </w:pPr>
      <w:r>
        <w:rPr>
          <w:sz w:val="28"/>
        </w:rPr>
        <w:t xml:space="preserve">Рассчитать для проектов </w:t>
      </w:r>
      <w:r>
        <w:rPr>
          <w:sz w:val="28"/>
          <w:lang w:val="en-US"/>
        </w:rPr>
        <w:t xml:space="preserve">MIRR </w:t>
      </w:r>
      <w:r>
        <w:rPr>
          <w:sz w:val="28"/>
        </w:rPr>
        <w:t>и установить приемлемость проектов по этому показателю.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sz w:val="28"/>
        </w:rPr>
      </w:pPr>
      <w:r>
        <w:rPr/>
        <w:t xml:space="preserve">Для одного из проектов показать процесс возмещения инвестиций для двух случаев: 1) проект финансируется за  счет собственных средств инвестора; 2) проект финансируется за  счет заемных средств. </w:t>
      </w:r>
    </w:p>
    <w:tbl>
      <w:tblPr>
        <w:tblW w:w="9269" w:type="dxa"/>
        <w:jc w:val="center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1022"/>
        <w:gridCol w:w="1200"/>
        <w:gridCol w:w="4"/>
        <w:gridCol w:w="385"/>
        <w:gridCol w:w="960"/>
        <w:gridCol w:w="783"/>
        <w:gridCol w:w="614"/>
        <w:gridCol w:w="614"/>
        <w:gridCol w:w="615"/>
        <w:gridCol w:w="614"/>
        <w:gridCol w:w="615"/>
        <w:gridCol w:w="614"/>
        <w:gridCol w:w="614"/>
        <w:gridCol w:w="615"/>
      </w:tblGrid>
      <w:tr>
        <w:trPr>
          <w:trHeight w:val="461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2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 xml:space="preserve">Номер </w:t>
            </w:r>
          </w:p>
        </w:tc>
        <w:tc>
          <w:tcPr>
            <w:tcW w:w="1204" w:type="dxa"/>
            <w:gridSpan w:val="2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spacing w:lineRule="auto" w:line="360" w:before="2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 xml:space="preserve">Сравнить </w:t>
            </w:r>
          </w:p>
        </w:tc>
        <w:tc>
          <w:tcPr>
            <w:tcW w:w="38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2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 xml:space="preserve">Номер 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240" w:after="0"/>
              <w:jc w:val="center"/>
              <w:rPr>
                <w:i/>
                <w:i/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 xml:space="preserve">Ставка      </w:t>
            </w:r>
          </w:p>
        </w:tc>
        <w:tc>
          <w:tcPr>
            <w:tcW w:w="4915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240" w:after="0"/>
              <w:jc w:val="center"/>
              <w:rPr/>
            </w:pPr>
            <w:r>
              <w:rPr>
                <w:color w:val="000000"/>
                <w:sz w:val="24"/>
                <w:lang w:eastAsia="ru-RU"/>
              </w:rPr>
              <w:t xml:space="preserve">Значения денежного потока за год ( </w:t>
            </w:r>
            <w:r>
              <w:rPr>
                <w:i/>
                <w:color w:val="000000"/>
                <w:sz w:val="24"/>
                <w:lang w:eastAsia="ru-RU"/>
              </w:rPr>
              <w:t>C t</w:t>
            </w:r>
            <w:r>
              <w:rPr>
                <w:i/>
                <w:color w:val="000000"/>
                <w:sz w:val="24"/>
                <w:vertAlign w:val="subscript"/>
                <w:lang w:eastAsia="ru-RU"/>
              </w:rPr>
              <w:t>k</w:t>
            </w:r>
            <w:r>
              <w:rPr>
                <w:color w:val="000000"/>
                <w:sz w:val="24"/>
                <w:lang w:eastAsia="ru-RU"/>
              </w:rPr>
              <w:t xml:space="preserve"> )</w:t>
            </w:r>
          </w:p>
        </w:tc>
      </w:tr>
      <w:tr>
        <w:trPr>
          <w:trHeight w:val="346" w:hRule="atLeast"/>
        </w:trPr>
        <w:tc>
          <w:tcPr>
            <w:tcW w:w="1022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варианта</w:t>
            </w:r>
          </w:p>
        </w:tc>
        <w:tc>
          <w:tcPr>
            <w:tcW w:w="1200" w:type="dxa"/>
            <w:tcBorders>
              <w:start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проекты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проекта</w:t>
            </w:r>
          </w:p>
        </w:tc>
        <w:tc>
          <w:tcPr>
            <w:tcW w:w="783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 xml:space="preserve">( </w:t>
            </w:r>
            <w:r>
              <w:rPr>
                <w:i/>
                <w:color w:val="000000"/>
                <w:sz w:val="24"/>
                <w:lang w:eastAsia="ru-RU"/>
              </w:rPr>
              <w:t>i )</w:t>
            </w:r>
          </w:p>
        </w:tc>
        <w:tc>
          <w:tcPr>
            <w:tcW w:w="4915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/>
            </w:pPr>
            <w:r>
              <w:rPr>
                <w:color w:val="000000"/>
                <w:sz w:val="24"/>
                <w:lang w:eastAsia="ru-RU"/>
              </w:rPr>
              <w:t>Год (</w:t>
            </w:r>
            <w:r>
              <w:rPr>
                <w:i/>
                <w:color w:val="000000"/>
                <w:sz w:val="24"/>
                <w:lang w:eastAsia="ru-RU"/>
              </w:rPr>
              <w:t xml:space="preserve"> t</w:t>
            </w:r>
            <w:r>
              <w:rPr>
                <w:i/>
                <w:color w:val="000000"/>
                <w:sz w:val="24"/>
                <w:vertAlign w:val="subscript"/>
                <w:lang w:eastAsia="ru-RU"/>
              </w:rPr>
              <w:t>k</w:t>
            </w:r>
            <w:r>
              <w:rPr>
                <w:color w:val="000000"/>
                <w:sz w:val="24"/>
                <w:lang w:eastAsia="ru-RU"/>
              </w:rPr>
              <w:t xml:space="preserve"> )</w:t>
            </w:r>
          </w:p>
        </w:tc>
      </w:tr>
      <w:tr>
        <w:trPr>
          <w:trHeight w:val="403" w:hRule="atLeast"/>
        </w:trPr>
        <w:tc>
          <w:tcPr>
            <w:tcW w:w="102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120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spacing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78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4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5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6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7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30, 35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3,5%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2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19, 37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4,0%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-90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27, 34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4,5%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-80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40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4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29, 33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4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5,0%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-70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5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20, 29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5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5,5%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-60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60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6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16, 18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6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6,0%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70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7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1, 40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7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6,5%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-40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8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1, 32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7,0%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-30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90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9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32, 40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9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7,5%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-20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10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26, 39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8,0%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11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17, 26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8,5%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-20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12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15, 17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12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9,0%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-30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-30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60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40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13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15, 39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13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9,5%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-40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-40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70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50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14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17, 39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14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10,0%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60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15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15, 26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15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10,5%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-60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-60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90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70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16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17, 31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16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11,0%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-70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-70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17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31, 38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17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11,5%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-80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-80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90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18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2, 38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18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12,0%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-90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-90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19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2, 31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19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12,5%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130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2, 15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13,0%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140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120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21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2, 14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21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3,5%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-30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-40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22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14, 25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22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4,0%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-40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-20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90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90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70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23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13, 25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23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4,5%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-60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-30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60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24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3, 13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24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5,0%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-60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-70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-40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50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25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3, 12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25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5,5%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-70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-80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40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26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4, 11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26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6,0%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-80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-90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-60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130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130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40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27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11, 24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27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6,5%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-90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-70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140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140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40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28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4, 24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28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7,0%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-110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-80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40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29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5, 24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29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7,5%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-110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-120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-90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160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160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140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40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30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6, 23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30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8,0%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-130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-100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170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170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160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40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31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28, 35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31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8,5%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-60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-70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70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90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90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32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28, 30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32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9,0%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-60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-65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65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85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85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33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30, 36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33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9,5%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-60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-60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60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34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36, 37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34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10,0%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-60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-55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55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75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75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35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19, 34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35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10,5%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-60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50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70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70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36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27, 33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36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11,0%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-45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45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65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65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37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8, 22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37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11,5%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-40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-40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40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60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60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38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7, 22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38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12,0%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-35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-35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35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55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55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39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9, 10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39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12,5%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-35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-30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30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</w:tr>
      <w:tr>
        <w:trPr>
          <w:trHeight w:val="302" w:hRule="atLeast"/>
        </w:trPr>
        <w:tc>
          <w:tcPr>
            <w:tcW w:w="1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b/>
                <w:color w:val="000000"/>
                <w:sz w:val="24"/>
                <w:lang w:eastAsia="ru-RU"/>
              </w:rPr>
            </w:pPr>
            <w:r>
              <w:rPr>
                <w:b/>
                <w:color w:val="000000"/>
                <w:sz w:val="24"/>
                <w:lang w:eastAsia="ru-RU"/>
              </w:rPr>
              <w:t>40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10, 21</w:t>
            </w:r>
          </w:p>
        </w:tc>
        <w:tc>
          <w:tcPr>
            <w:tcW w:w="389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40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13,0%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-35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-25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25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45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45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40" w:after="0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20</w:t>
            </w:r>
          </w:p>
        </w:tc>
      </w:tr>
    </w:tbl>
    <w:p>
      <w:pPr>
        <w:pStyle w:val="Normal"/>
        <w:spacing w:lineRule="auto" w:line="360"/>
        <w:jc w:val="both"/>
        <w:rPr>
          <w:sz w:val="28"/>
        </w:rPr>
      </w:pPr>
      <w:r>
        <w:rPr>
          <w:sz w:val="28"/>
        </w:rPr>
      </w:r>
    </w:p>
    <w:p>
      <w:pPr>
        <w:sectPr>
          <w:type w:val="continuous"/>
          <w:pgSz w:w="11906" w:h="16838"/>
          <w:pgMar w:left="1418" w:right="1134" w:gutter="0" w:header="720" w:top="1440" w:footer="720" w:bottom="1758"/>
          <w:formProt w:val="false"/>
          <w:textDirection w:val="lrTb"/>
          <w:docGrid w:type="default" w:linePitch="360" w:charSpace="0"/>
        </w:sectPr>
      </w:pPr>
    </w:p>
    <w:p>
      <w:pPr>
        <w:pStyle w:val="Style15"/>
        <w:numPr>
          <w:ilvl w:val="0"/>
          <w:numId w:val="0"/>
        </w:numPr>
        <w:rPr>
          <w:rFonts w:ascii="Times New Roman" w:hAnsi="Times New Roman" w:cs="Times New Roman"/>
          <w:b/>
          <w:sz w:val="28"/>
          <w:lang w:val="ru-RU"/>
        </w:rPr>
      </w:pPr>
      <w:r>
        <w:rPr>
          <w:rFonts w:cs="Times New Roman" w:ascii="Times New Roman" w:hAnsi="Times New Roman"/>
          <w:b/>
          <w:sz w:val="28"/>
          <w:lang w:val="ru-RU"/>
        </w:rPr>
      </w:r>
    </w:p>
    <w:p>
      <w:pPr>
        <w:sectPr>
          <w:type w:val="continuous"/>
          <w:pgSz w:w="11906" w:h="16838"/>
          <w:pgMar w:left="1418" w:right="1134" w:gutter="0" w:header="720" w:top="1440" w:footer="720" w:bottom="1758"/>
          <w:formProt w:val="false"/>
          <w:textDirection w:val="lrTb"/>
          <w:docGrid w:type="default" w:linePitch="360" w:charSpace="0"/>
        </w:sectPr>
      </w:pPr>
    </w:p>
    <w:p>
      <w:pPr>
        <w:pStyle w:val="Style16"/>
        <w:spacing w:before="0" w:after="120"/>
        <w:rPr>
          <w:rFonts w:ascii="Times New Roman" w:hAnsi="Times New Roman" w:cs="Times New Roman"/>
          <w:b w:val="false"/>
          <w:sz w:val="32"/>
          <w:lang w:val="ru-RU"/>
        </w:rPr>
      </w:pPr>
      <w:r>
        <w:rPr>
          <w:rFonts w:cs="Times New Roman"/>
          <w:b w:val="false"/>
          <w:sz w:val="32"/>
          <w:lang w:val="ru-RU"/>
        </w:rPr>
      </w:r>
    </w:p>
    <w:p>
      <w:pPr>
        <w:pStyle w:val="Normal"/>
        <w:jc w:val="both"/>
        <w:rPr>
          <w:b/>
          <w:sz w:val="24"/>
        </w:rPr>
      </w:pPr>
      <w:r>
        <w:rPr>
          <w:b/>
          <w:sz w:val="24"/>
        </w:rPr>
      </w:r>
    </w:p>
    <w:sectPr>
      <w:type w:val="continuous"/>
      <w:pgSz w:w="11906" w:h="16838"/>
      <w:pgMar w:left="1797" w:right="1134" w:gutter="0" w:header="720" w:top="1440" w:footer="720" w:bottom="1758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cc" w:characterSet="windows-1251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 PAGE </w:instrText>
    </w:r>
    <w:r>
      <w:rPr>
        <w:rStyle w:val="PageNumber"/>
        <w:sz w:val="24"/>
      </w:rPr>
      <w:fldChar w:fldCharType="separate"/>
    </w:r>
    <w:r>
      <w:rPr>
        <w:rStyle w:val="PageNumber"/>
        <w:sz w:val="24"/>
      </w:rPr>
      <w:t>7</w:t>
    </w:r>
    <w:r>
      <w:rPr>
        <w:rStyle w:val="PageNumber"/>
        <w:sz w:val="2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 PAGE </w:instrText>
    </w:r>
    <w:r>
      <w:rPr>
        <w:rStyle w:val="PageNumber"/>
        <w:sz w:val="24"/>
      </w:rPr>
      <w:fldChar w:fldCharType="separate"/>
    </w:r>
    <w:r>
      <w:rPr>
        <w:rStyle w:val="PageNumber"/>
        <w:sz w:val="24"/>
      </w:rPr>
      <w:t>2</w:t>
    </w:r>
    <w:r>
      <w:rPr>
        <w:rStyle w:val="PageNumber"/>
        <w:sz w:val="24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</w:rPr>
    </w:pPr>
    <w:r>
      <w:rPr>
        <w:sz w:val="24"/>
      </w:rPr>
      <w:t>Задачи для самостоятельного решения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60"/>
        </w:tabs>
        <w:ind w:start="0" w:hanging="0"/>
      </w:pPr>
      <w:rPr>
        <w:i w:val="false"/>
        <w:b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eastAsia="zh-CN" w:bidi="hi-I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b/>
      <w:i w:val="false"/>
    </w:rPr>
  </w:style>
  <w:style w:type="character" w:styleId="Style14">
    <w:name w:val="Основной шрифт абзаца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keepLines/>
      <w:widowControl w:val="false"/>
      <w:spacing w:lineRule="auto" w:line="360" w:before="120" w:after="0"/>
    </w:pPr>
    <w:rPr>
      <w:sz w:val="24"/>
      <w:lang w:eastAsia="ru-RU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Текст"/>
    <w:basedOn w:val="Normal"/>
    <w:qFormat/>
    <w:pPr/>
    <w:rPr>
      <w:rFonts w:ascii="Courier New" w:hAnsi="Courier New" w:cs="Courier New"/>
      <w:lang w:val="en-GB"/>
    </w:rPr>
  </w:style>
  <w:style w:type="paragraph" w:styleId="Iauiue">
    <w:name w:val="Iau?iue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eastAsia="zh-CN" w:bidi="hi-I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2">
    <w:name w:val="çàãîëîâîê 2"/>
    <w:basedOn w:val="Normal"/>
    <w:next w:val="Normal"/>
    <w:qFormat/>
    <w:pPr>
      <w:keepNext w:val="true"/>
      <w:spacing w:lineRule="auto" w:line="360"/>
      <w:ind w:firstLine="567" w:start="0" w:end="0"/>
      <w:jc w:val="both"/>
    </w:pPr>
    <w:rPr>
      <w:sz w:val="24"/>
    </w:rPr>
  </w:style>
  <w:style w:type="paragraph" w:styleId="Style16">
    <w:name w:val="Íàçâàíèå"/>
    <w:basedOn w:val="Normal"/>
    <w:qFormat/>
    <w:pPr>
      <w:spacing w:lineRule="auto" w:line="360" w:before="120" w:after="120"/>
      <w:jc w:val="center"/>
    </w:pPr>
    <w:rPr>
      <w:b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1.wmf"/><Relationship Id="rId6" Type="http://schemas.openxmlformats.org/officeDocument/2006/relationships/oleObject" Target="embeddings/oleObject2.bin"/><Relationship Id="rId7" Type="http://schemas.openxmlformats.org/officeDocument/2006/relationships/image" Target="media/image2.wmf"/><Relationship Id="rId8" Type="http://schemas.openxmlformats.org/officeDocument/2006/relationships/oleObject" Target="embeddings/oleObject3.bin"/><Relationship Id="rId9" Type="http://schemas.openxmlformats.org/officeDocument/2006/relationships/image" Target="media/image3.wmf"/><Relationship Id="rId10" Type="http://schemas.openxmlformats.org/officeDocument/2006/relationships/oleObject" Target="embeddings/oleObject4.bin"/><Relationship Id="rId11" Type="http://schemas.openxmlformats.org/officeDocument/2006/relationships/image" Target="media/image4.wmf"/><Relationship Id="rId12" Type="http://schemas.openxmlformats.org/officeDocument/2006/relationships/oleObject" Target="embeddings/oleObject5.bin"/><Relationship Id="rId13" Type="http://schemas.openxmlformats.org/officeDocument/2006/relationships/image" Target="media/image5.wmf"/><Relationship Id="rId14" Type="http://schemas.openxmlformats.org/officeDocument/2006/relationships/oleObject" Target="embeddings/oleObject6.bin"/><Relationship Id="rId15" Type="http://schemas.openxmlformats.org/officeDocument/2006/relationships/image" Target="media/image6.wmf"/><Relationship Id="rId16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oter" Target="footer3.xml"/><Relationship Id="rId20" Type="http://schemas.openxmlformats.org/officeDocument/2006/relationships/header" Target="header4.xml"/><Relationship Id="rId21" Type="http://schemas.openxmlformats.org/officeDocument/2006/relationships/footer" Target="footer4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2002-12-21T11:04:00Z</dcterms:created>
  <dc:creator>Попова Н.В.</dc:creator>
  <dc:description/>
  <dc:language>en-US</dc:language>
  <cp:lastModifiedBy>Popov</cp:lastModifiedBy>
  <dcterms:modified xsi:type="dcterms:W3CDTF">2002-12-23T07:22:00Z</dcterms:modified>
  <cp:revision>10</cp:revision>
  <dc:subject/>
  <dc:title>Приложение 2</dc:title>
</cp:coreProperties>
</file>